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A8ADE2">
      <w:pPr>
        <w:widowControl w:val="0"/>
        <w:kinsoku/>
        <w:autoSpaceDE/>
        <w:autoSpaceDN/>
        <w:adjustRightInd/>
        <w:snapToGrid/>
        <w:spacing w:line="360" w:lineRule="auto"/>
        <w:jc w:val="center"/>
        <w:textAlignment w:val="auto"/>
        <w:rPr>
          <w:rFonts w:ascii="Times New Roman" w:hAnsi="Times New Roman" w:eastAsia="黑体" w:cs="Times New Roman"/>
          <w:snapToGrid/>
          <w:color w:val="auto"/>
          <w:kern w:val="2"/>
          <w:sz w:val="56"/>
          <w:szCs w:val="96"/>
        </w:rPr>
      </w:pPr>
      <w:bookmarkStart w:id="0" w:name="_bookmark1"/>
      <w:bookmarkEnd w:id="0"/>
      <w:r>
        <w:rPr>
          <w:rFonts w:ascii="Times New Roman" w:hAnsi="Times New Roman" w:eastAsia="黑体" w:cs="Times New Roman"/>
          <w:snapToGrid/>
          <w:color w:val="auto"/>
          <w:kern w:val="2"/>
          <w:sz w:val="56"/>
          <w:szCs w:val="96"/>
        </w:rPr>
        <w:t>202</w:t>
      </w:r>
      <w:r>
        <w:rPr>
          <w:rFonts w:hint="eastAsia" w:ascii="Times New Roman" w:hAnsi="Times New Roman" w:eastAsia="黑体" w:cs="Times New Roman"/>
          <w:snapToGrid/>
          <w:color w:val="auto"/>
          <w:kern w:val="2"/>
          <w:sz w:val="56"/>
          <w:szCs w:val="96"/>
        </w:rPr>
        <w:t>6</w:t>
      </w:r>
      <w:r>
        <w:rPr>
          <w:rFonts w:ascii="Times New Roman" w:hAnsi="Times New Roman" w:eastAsia="黑体" w:cs="Times New Roman"/>
          <w:snapToGrid/>
          <w:color w:val="auto"/>
          <w:kern w:val="2"/>
          <w:sz w:val="56"/>
          <w:szCs w:val="96"/>
        </w:rPr>
        <w:t>年“领航杯”</w:t>
      </w:r>
    </w:p>
    <w:p w14:paraId="6E23C4A3">
      <w:pPr>
        <w:spacing w:line="360" w:lineRule="auto"/>
        <w:jc w:val="center"/>
        <w:rPr>
          <w:rFonts w:hint="default" w:ascii="Times New Roman" w:hAnsi="Times New Roman" w:eastAsia="黑体" w:cs="Times New Roman"/>
          <w:color w:val="auto"/>
          <w:sz w:val="56"/>
          <w:szCs w:val="96"/>
          <w:lang w:val="en-US" w:eastAsia="zh-CN"/>
        </w:rPr>
      </w:pPr>
      <w:r>
        <w:rPr>
          <w:rFonts w:ascii="Times New Roman" w:hAnsi="Times New Roman" w:eastAsia="黑体" w:cs="Times New Roman"/>
          <w:color w:val="auto"/>
          <w:sz w:val="56"/>
          <w:szCs w:val="96"/>
        </w:rPr>
        <w:t>江苏省中小学生</w:t>
      </w:r>
      <w:r>
        <w:rPr>
          <w:rFonts w:hint="eastAsia" w:ascii="Times New Roman" w:hAnsi="Times New Roman" w:eastAsia="黑体" w:cs="Times New Roman"/>
          <w:color w:val="auto"/>
          <w:sz w:val="56"/>
          <w:szCs w:val="96"/>
          <w:lang w:val="en-US" w:eastAsia="zh-CN"/>
        </w:rPr>
        <w:t>人工智能素养大赛</w:t>
      </w:r>
    </w:p>
    <w:p w14:paraId="6D3BA60F"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56"/>
          <w:szCs w:val="96"/>
        </w:rPr>
      </w:pPr>
    </w:p>
    <w:p w14:paraId="5AB7CE0D">
      <w:pPr>
        <w:jc w:val="center"/>
        <w:rPr>
          <w:rFonts w:hint="default" w:ascii="Times New Roman" w:hAnsi="Times New Roman" w:eastAsia="黑体" w:cs="Times New Roman"/>
          <w:color w:val="auto"/>
          <w:sz w:val="48"/>
          <w:szCs w:val="56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48"/>
          <w:szCs w:val="56"/>
          <w:lang w:val="en-US" w:eastAsia="zh-CN"/>
        </w:rPr>
        <w:t>人工智能</w:t>
      </w:r>
      <w:r>
        <w:rPr>
          <w:rFonts w:ascii="Times New Roman" w:hAnsi="Times New Roman" w:eastAsia="黑体" w:cs="Times New Roman"/>
          <w:color w:val="auto"/>
          <w:sz w:val="48"/>
          <w:szCs w:val="56"/>
        </w:rPr>
        <w:t>——</w:t>
      </w:r>
      <w:r>
        <w:rPr>
          <w:rFonts w:hint="eastAsia" w:ascii="Times New Roman" w:hAnsi="Times New Roman" w:eastAsia="黑体" w:cs="Times New Roman"/>
          <w:color w:val="auto"/>
          <w:sz w:val="48"/>
          <w:szCs w:val="56"/>
          <w:lang w:val="en-US" w:eastAsia="zh-CN"/>
        </w:rPr>
        <w:t>具身智能</w:t>
      </w:r>
    </w:p>
    <w:p w14:paraId="5868B106">
      <w:pPr>
        <w:jc w:val="center"/>
        <w:rPr>
          <w:rFonts w:ascii="Times New Roman" w:hAnsi="Times New Roman" w:eastAsia="黑体" w:cs="Times New Roman"/>
          <w:color w:val="auto"/>
          <w:sz w:val="48"/>
          <w:szCs w:val="56"/>
        </w:rPr>
      </w:pPr>
    </w:p>
    <w:p w14:paraId="435C0706">
      <w:pPr>
        <w:jc w:val="center"/>
        <w:rPr>
          <w:rFonts w:ascii="Times New Roman" w:hAnsi="Times New Roman" w:eastAsia="黑体" w:cs="Times New Roman"/>
          <w:color w:val="auto"/>
          <w:sz w:val="48"/>
          <w:szCs w:val="56"/>
        </w:rPr>
      </w:pPr>
    </w:p>
    <w:p w14:paraId="3C8654D6"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</w:pPr>
      <w:r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  <w:t>规</w:t>
      </w:r>
    </w:p>
    <w:p w14:paraId="08715F8D"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</w:pPr>
      <w:r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  <w:t>则</w:t>
      </w:r>
    </w:p>
    <w:p w14:paraId="006B547B"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72"/>
          <w:szCs w:val="72"/>
          <w:lang w:bidi="zh-CN"/>
        </w:rPr>
      </w:pPr>
    </w:p>
    <w:p w14:paraId="3094A543">
      <w:pPr>
        <w:spacing w:line="360" w:lineRule="auto"/>
        <w:jc w:val="center"/>
        <w:rPr>
          <w:rFonts w:ascii="Times New Roman" w:hAnsi="Times New Roman" w:eastAsia="黑体" w:cs="Times New Roman"/>
          <w:color w:val="auto"/>
          <w:sz w:val="44"/>
          <w:szCs w:val="52"/>
        </w:rPr>
      </w:pPr>
      <w:r>
        <w:rPr>
          <w:rFonts w:ascii="Times New Roman" w:hAnsi="Times New Roman" w:eastAsia="黑体" w:cs="Times New Roman"/>
          <w:color w:val="auto"/>
          <w:sz w:val="44"/>
          <w:szCs w:val="52"/>
        </w:rPr>
        <w:t>江苏省教育信息化与数据管理中心</w:t>
      </w:r>
    </w:p>
    <w:p w14:paraId="5561709A">
      <w:pPr>
        <w:widowControl w:val="0"/>
        <w:kinsoku/>
        <w:autoSpaceDE/>
        <w:autoSpaceDN/>
        <w:adjustRightInd/>
        <w:snapToGrid/>
        <w:spacing w:line="360" w:lineRule="auto"/>
        <w:jc w:val="center"/>
        <w:textAlignment w:val="auto"/>
        <w:rPr>
          <w:rFonts w:ascii="Times New Roman" w:hAnsi="Times New Roman" w:eastAsia="黑体" w:cs="Times New Roman"/>
          <w:snapToGrid/>
          <w:color w:val="auto"/>
          <w:kern w:val="2"/>
          <w:sz w:val="44"/>
          <w:szCs w:val="52"/>
        </w:rPr>
        <w:sectPr>
          <w:footerReference r:id="rId3" w:type="default"/>
          <w:pgSz w:w="11910" w:h="16840"/>
          <w:pgMar w:top="2268" w:right="1134" w:bottom="2268" w:left="1134" w:header="0" w:footer="981" w:gutter="0"/>
          <w:pgNumType w:fmt="numberInDash"/>
          <w:cols w:space="0" w:num="1"/>
        </w:sectPr>
      </w:pPr>
      <w:r>
        <w:rPr>
          <w:rFonts w:ascii="Times New Roman" w:hAnsi="Times New Roman" w:eastAsia="黑体" w:cs="Times New Roman"/>
          <w:snapToGrid/>
          <w:color w:val="auto"/>
          <w:kern w:val="2"/>
          <w:sz w:val="44"/>
          <w:szCs w:val="52"/>
        </w:rPr>
        <w:t>202</w:t>
      </w:r>
      <w:r>
        <w:rPr>
          <w:rFonts w:hint="eastAsia" w:ascii="Times New Roman" w:hAnsi="Times New Roman" w:eastAsia="黑体" w:cs="Times New Roman"/>
          <w:snapToGrid/>
          <w:color w:val="auto"/>
          <w:kern w:val="2"/>
          <w:sz w:val="44"/>
          <w:szCs w:val="52"/>
          <w:lang w:val="en-US" w:eastAsia="zh-CN"/>
        </w:rPr>
        <w:t>6</w:t>
      </w:r>
      <w:r>
        <w:rPr>
          <w:rFonts w:ascii="Times New Roman" w:hAnsi="Times New Roman" w:eastAsia="黑体" w:cs="Times New Roman"/>
          <w:snapToGrid/>
          <w:color w:val="auto"/>
          <w:kern w:val="2"/>
          <w:sz w:val="44"/>
          <w:szCs w:val="52"/>
        </w:rPr>
        <w:t>年</w:t>
      </w:r>
      <w:r>
        <w:rPr>
          <w:rFonts w:hint="eastAsia" w:ascii="Times New Roman" w:hAnsi="Times New Roman" w:eastAsia="黑体" w:cs="Times New Roman"/>
          <w:snapToGrid/>
          <w:color w:val="auto"/>
          <w:kern w:val="2"/>
          <w:sz w:val="44"/>
          <w:szCs w:val="52"/>
          <w:lang w:val="en-US" w:eastAsia="zh-CN"/>
        </w:rPr>
        <w:t>4</w:t>
      </w:r>
      <w:bookmarkStart w:id="1" w:name="_GoBack"/>
      <w:bookmarkEnd w:id="1"/>
      <w:r>
        <w:rPr>
          <w:rFonts w:ascii="Times New Roman" w:hAnsi="Times New Roman" w:eastAsia="黑体" w:cs="Times New Roman"/>
          <w:snapToGrid/>
          <w:color w:val="auto"/>
          <w:kern w:val="2"/>
          <w:sz w:val="44"/>
          <w:szCs w:val="52"/>
        </w:rPr>
        <w:t>月</w:t>
      </w:r>
    </w:p>
    <w:p w14:paraId="0B32B726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一、总则</w:t>
      </w:r>
    </w:p>
    <w:p w14:paraId="52104C27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本次具身智能挑战赛以“智能感知・精准执行・场景互动”为核心导向，聚焦具身智能技术在日常生活场景中的落地应用与综合比拼。赛事通过设置水果、饮品、工具等贴近生活的识别与操作场景，要求参赛机器人依托多模态感知技术完成精准识别，快速响应并执行抓取、分拣、搬运等动作，同时结合电子标签数据读取、手势识别与策略应答等互动任务，全方位考核机器人的环境感知、语义理解、动作规划与精准执行能力，旨在推动机器人从“被动执行”向“主动感知— 智能决策—精准行动” 的具身智能形态升级。</w:t>
      </w:r>
    </w:p>
    <w:p w14:paraId="73595AAC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default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二、参赛机器人规范</w:t>
      </w:r>
    </w:p>
    <w:p w14:paraId="1C43EFA7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硬件配置要求</w:t>
      </w:r>
    </w:p>
    <w:p w14:paraId="215C7EF7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控制单元：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每台机器人仅允许配置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个可编程处理器，且主控芯片必须为国产型号，严禁使用进口主控芯片。</w:t>
      </w:r>
    </w:p>
    <w:p w14:paraId="16CFE75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动力系统：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直流电机限定使用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个，伺服电机最大配置数量为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个，不得额外增加动力单元。</w:t>
      </w:r>
    </w:p>
    <w:p w14:paraId="4DE85E2A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感知系统：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传感器的选型、数量及安装方式无限制，参赛队可根据任务需求自主配置。</w:t>
      </w:r>
    </w:p>
    <w:p w14:paraId="232580B0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供电系统规范</w:t>
      </w:r>
    </w:p>
    <w:p w14:paraId="67292C1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供电类型：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仅限使用锂电池供电，禁止使用干电池、镍镉电池等其他类型电池。</w:t>
      </w:r>
    </w:p>
    <w:p w14:paraId="3A6DD4CC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电压限制：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锂电池额定电压不得超过9V，电池需具备防短路、防漏液、防过热等安全防护措施。</w:t>
      </w:r>
    </w:p>
    <w:p w14:paraId="0AFB928D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（三）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外观装饰要求</w:t>
      </w:r>
    </w:p>
    <w:p w14:paraId="5BA0004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允许对机器人进行个性化装饰，但装饰部件不得影响机器人的运动性能、感知功能及任务执行效率。</w:t>
      </w:r>
    </w:p>
    <w:p w14:paraId="099DB4EE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装饰不得包含尖锐边角、易燃材料等安全隐患，不得干扰其他参赛队伍的比赛进程。</w:t>
      </w:r>
    </w:p>
    <w:p w14:paraId="11C1976A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（四）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软件要求</w:t>
      </w:r>
    </w:p>
    <w:p w14:paraId="72049B9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编程平台支持图形化编程，支持在Windows、Loongnix等系统上安装客户端使用，所有动作程序均需参赛队员自行编写。</w:t>
      </w:r>
    </w:p>
    <w:p w14:paraId="72F0292C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三、竞赛场地及要求</w:t>
      </w:r>
    </w:p>
    <w:p w14:paraId="3C84AA75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场地总体规格</w:t>
      </w:r>
    </w:p>
    <w:p w14:paraId="4A99478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场地尺寸：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长方形结构，长2800mm×宽1800mm，四周无围栏，刀刮布材质。</w:t>
      </w:r>
    </w:p>
    <w:p w14:paraId="21363855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尺寸误差：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场地实际尺寸允许±10mm的误差，参赛队在设计机器人时需充分考虑适配性。</w:t>
      </w:r>
    </w:p>
    <w:p w14:paraId="0275A1A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适用组别：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小学组、初中组、高中（中职）组使用统一规格场地，区域分布一致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，如图1所示。</w:t>
      </w:r>
    </w:p>
    <w:p w14:paraId="08C19160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4721860" cy="3037840"/>
            <wp:effectExtent l="0" t="0" r="2540" b="1016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63A02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center"/>
        <w:textAlignment w:val="baseline"/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 场地示意图</w:t>
      </w:r>
    </w:p>
    <w:p w14:paraId="614FF0C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功能区域详细说明</w:t>
      </w:r>
    </w:p>
    <w:p w14:paraId="0F2BAC2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起始区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场地上有1个长350mm*宽300mm长方形区域，表示机器人启动与完全返回位置，机器人任意部分垂直投影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不允许超出此起始区，在赛前可放置在区域内任意位置。如图2所示（此区域上有文字标识）。</w:t>
      </w:r>
    </w:p>
    <w:p w14:paraId="65C62B9B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1731010" cy="1489710"/>
            <wp:effectExtent l="0" t="0" r="2540" b="15240"/>
            <wp:docPr id="2" name="图片 2" descr="704497e39a51a64fbbb99c36384a8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04497e39a51a64fbbb99c36384a8e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148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71C69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图2 机器人起始区</w:t>
      </w:r>
    </w:p>
    <w:p w14:paraId="6EFE76BA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场景区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场地上共计3个长300mm*宽200mm长方形区域，分别为A01（水果场景区）*1、A02（饮品场景区）*1、A03（工具场景区）*1。如图3、4、5所示（此区域上有文字标识）。</w:t>
      </w:r>
    </w:p>
    <w:p w14:paraId="2ACC83C0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left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5071110" cy="1250315"/>
            <wp:effectExtent l="0" t="0" r="15240" b="6985"/>
            <wp:docPr id="3" name="图片 3" descr="演示文稿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演示文稿1_01"/>
                    <pic:cNvPicPr>
                      <a:picLocks noChangeAspect="1"/>
                    </pic:cNvPicPr>
                  </pic:nvPicPr>
                  <pic:blipFill>
                    <a:blip r:embed="rId7"/>
                    <a:srcRect l="2062" t="25482" r="1652" b="32319"/>
                    <a:stretch>
                      <a:fillRect/>
                    </a:stretch>
                  </pic:blipFill>
                  <pic:spPr>
                    <a:xfrm>
                      <a:off x="0" y="0"/>
                      <a:ext cx="5071110" cy="125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058D6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类别标志*区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场地上有2个直径100mm的圆形区域，分别为B01（类别标志A区）*1、B02（类别标志B区）*1，如图6、7所示（此区域上有字母标识）。</w:t>
      </w:r>
    </w:p>
    <w:p w14:paraId="0274A64C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347085" cy="1595755"/>
            <wp:effectExtent l="0" t="0" r="5715" b="4445"/>
            <wp:docPr id="4" name="图片 4" descr="演示文稿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演示文稿1_02"/>
                    <pic:cNvPicPr>
                      <a:picLocks noChangeAspect="1"/>
                    </pic:cNvPicPr>
                  </pic:nvPicPr>
                  <pic:blipFill>
                    <a:blip r:embed="rId8"/>
                    <a:srcRect l="20147" t="20424" r="16301" b="25718"/>
                    <a:stretch>
                      <a:fillRect/>
                    </a:stretch>
                  </pic:blipFill>
                  <pic:spPr>
                    <a:xfrm>
                      <a:off x="0" y="0"/>
                      <a:ext cx="3347085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CD90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 xml:space="preserve">4. 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*水果区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场地上有2个直径100mm的圆形区域，分别为C01（A水果区）*1、C04（B水果区）*1，如图8、9所示（此区域旁有文字标识）。</w:t>
      </w:r>
    </w:p>
    <w:p w14:paraId="31C098D3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810000" cy="1786890"/>
            <wp:effectExtent l="0" t="0" r="0" b="3810"/>
            <wp:docPr id="5" name="图片 5" descr="演示文稿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演示文稿1_03"/>
                    <pic:cNvPicPr>
                      <a:picLocks noChangeAspect="1"/>
                    </pic:cNvPicPr>
                  </pic:nvPicPr>
                  <pic:blipFill>
                    <a:blip r:embed="rId9"/>
                    <a:srcRect l="10200" t="16245" r="10514" b="1766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1287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*饮品区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场地上有2个直径100mm的圆形区域，分别为C02（A饮品区）*1、C05（B饮品区）*1，如图10、11所示（此区域旁有文字标识）。</w:t>
      </w:r>
    </w:p>
    <w:p w14:paraId="2C1695B3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724910" cy="2001520"/>
            <wp:effectExtent l="0" t="0" r="8890" b="17780"/>
            <wp:docPr id="6" name="图片 6" descr="演示文稿1_0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演示文稿1_04(1)"/>
                    <pic:cNvPicPr>
                      <a:picLocks noChangeAspect="1"/>
                    </pic:cNvPicPr>
                  </pic:nvPicPr>
                  <pic:blipFill>
                    <a:blip r:embed="rId10"/>
                    <a:srcRect l="13757" t="14638" r="15517" b="17810"/>
                    <a:stretch>
                      <a:fillRect/>
                    </a:stretch>
                  </pic:blipFill>
                  <pic:spPr>
                    <a:xfrm>
                      <a:off x="0" y="0"/>
                      <a:ext cx="3724910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AEAE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 xml:space="preserve">6. 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*工具区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场地上有2个直径100mm的圆形区域，分别为C03（A工具区）*1、C06（B工具区）*1，如图12、13所示（此区域旁有文字标识）。</w:t>
      </w:r>
    </w:p>
    <w:p w14:paraId="26C66067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5115560" cy="1183640"/>
            <wp:effectExtent l="0" t="0" r="8890" b="16510"/>
            <wp:docPr id="7" name="图片 7" descr="演示文稿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演示文稿1_05"/>
                    <pic:cNvPicPr>
                      <a:picLocks noChangeAspect="1"/>
                    </pic:cNvPicPr>
                  </pic:nvPicPr>
                  <pic:blipFill>
                    <a:blip r:embed="rId11"/>
                    <a:srcRect l="1821" t="29640" r="1049" b="30411"/>
                    <a:stretch>
                      <a:fillRect/>
                    </a:stretch>
                  </pic:blipFill>
                  <pic:spPr>
                    <a:xfrm>
                      <a:off x="0" y="0"/>
                      <a:ext cx="511556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7B1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7.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手势识别区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场地上有1个长250mm*宽200mm的长方形区域，表示为C07(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手势识别区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)，如图14所示（此区域上有文字标识）。</w:t>
      </w:r>
    </w:p>
    <w:p w14:paraId="1F0471D8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1223645" cy="977900"/>
            <wp:effectExtent l="0" t="0" r="14605" b="1270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480D3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图14 手势识别区</w:t>
      </w:r>
    </w:p>
    <w:p w14:paraId="69DC196B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（三）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赛场环境条件</w:t>
      </w:r>
    </w:p>
    <w:p w14:paraId="7F7CB44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光照要求：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比赛场地为低照度环境，参赛机器人需具备抗光照干扰的感知能力，确保识别任务的准确性。</w:t>
      </w:r>
    </w:p>
    <w:p w14:paraId="3984517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环境适配：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赛场可能存在地面轻微不平整、细小裂缝、光照强度波动等不确定因素，参赛队需设计相应的应对方案，保证机器人的环境适应性。</w:t>
      </w:r>
    </w:p>
    <w:p w14:paraId="6903921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（四）任务道具</w:t>
      </w:r>
    </w:p>
    <w:p w14:paraId="533D9CA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1.水果场景区任务道具</w:t>
      </w:r>
    </w:p>
    <w:p w14:paraId="0B76E835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道具清单：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苹果、橙子、柿子、桃子、山竹、菠萝，共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6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种，每种各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个。</w:t>
      </w:r>
    </w:p>
    <w:p w14:paraId="5B158B1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材质与形态：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泡沫材质1:1实物仿真模型，无尖锐边角，重量（8g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—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25.5g），具体参数如下：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4"/>
        <w:gridCol w:w="3407"/>
        <w:gridCol w:w="2841"/>
      </w:tblGrid>
      <w:tr w14:paraId="1917E8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86" w:hRule="atLeast"/>
        </w:trPr>
        <w:tc>
          <w:tcPr>
            <w:tcW w:w="2274" w:type="dxa"/>
            <w:vAlign w:val="center"/>
          </w:tcPr>
          <w:p w14:paraId="0EC439D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道具名称</w:t>
            </w:r>
          </w:p>
        </w:tc>
        <w:tc>
          <w:tcPr>
            <w:tcW w:w="3407" w:type="dxa"/>
            <w:vAlign w:val="center"/>
          </w:tcPr>
          <w:p w14:paraId="6E481C5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尺寸参数</w:t>
            </w:r>
          </w:p>
        </w:tc>
        <w:tc>
          <w:tcPr>
            <w:tcW w:w="2841" w:type="dxa"/>
            <w:vAlign w:val="center"/>
          </w:tcPr>
          <w:p w14:paraId="13A8469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重量</w:t>
            </w:r>
          </w:p>
        </w:tc>
      </w:tr>
      <w:tr w14:paraId="21C7FB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1C4A310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苹果</w:t>
            </w:r>
          </w:p>
        </w:tc>
        <w:tc>
          <w:tcPr>
            <w:tcW w:w="3407" w:type="dxa"/>
            <w:vAlign w:val="center"/>
          </w:tcPr>
          <w:p w14:paraId="165B574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高度80mm，直径70mm</w:t>
            </w:r>
          </w:p>
        </w:tc>
        <w:tc>
          <w:tcPr>
            <w:tcW w:w="2841" w:type="dxa"/>
            <w:vAlign w:val="center"/>
          </w:tcPr>
          <w:p w14:paraId="6D57230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17g</w:t>
            </w:r>
          </w:p>
        </w:tc>
      </w:tr>
      <w:tr w14:paraId="4AE694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739BE99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橙子</w:t>
            </w:r>
          </w:p>
        </w:tc>
        <w:tc>
          <w:tcPr>
            <w:tcW w:w="3407" w:type="dxa"/>
            <w:vAlign w:val="center"/>
          </w:tcPr>
          <w:p w14:paraId="6C5EE6F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长度55mm,直径75mm</w:t>
            </w:r>
          </w:p>
        </w:tc>
        <w:tc>
          <w:tcPr>
            <w:tcW w:w="2841" w:type="dxa"/>
            <w:vAlign w:val="center"/>
          </w:tcPr>
          <w:p w14:paraId="77236E7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15.5g</w:t>
            </w:r>
          </w:p>
        </w:tc>
      </w:tr>
      <w:tr w14:paraId="7748DE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0DEC099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柿子</w:t>
            </w:r>
          </w:p>
        </w:tc>
        <w:tc>
          <w:tcPr>
            <w:tcW w:w="3407" w:type="dxa"/>
            <w:vAlign w:val="center"/>
          </w:tcPr>
          <w:p w14:paraId="582DF5F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高度60mm，直径70mm</w:t>
            </w:r>
          </w:p>
        </w:tc>
        <w:tc>
          <w:tcPr>
            <w:tcW w:w="2841" w:type="dxa"/>
            <w:vAlign w:val="center"/>
          </w:tcPr>
          <w:p w14:paraId="521C9BA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11g</w:t>
            </w:r>
          </w:p>
        </w:tc>
      </w:tr>
      <w:tr w14:paraId="12295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677CEB3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桃子</w:t>
            </w:r>
          </w:p>
        </w:tc>
        <w:tc>
          <w:tcPr>
            <w:tcW w:w="3407" w:type="dxa"/>
            <w:vAlign w:val="center"/>
          </w:tcPr>
          <w:p w14:paraId="63AEA4F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高度90mm，直径76mm</w:t>
            </w:r>
          </w:p>
        </w:tc>
        <w:tc>
          <w:tcPr>
            <w:tcW w:w="2841" w:type="dxa"/>
            <w:vAlign w:val="center"/>
          </w:tcPr>
          <w:p w14:paraId="06E1558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9g</w:t>
            </w:r>
          </w:p>
        </w:tc>
      </w:tr>
      <w:tr w14:paraId="57A8FF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0DAC320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山竹</w:t>
            </w:r>
          </w:p>
        </w:tc>
        <w:tc>
          <w:tcPr>
            <w:tcW w:w="3407" w:type="dxa"/>
            <w:vAlign w:val="center"/>
          </w:tcPr>
          <w:p w14:paraId="143C8D1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长度70mm，直径60mm</w:t>
            </w:r>
          </w:p>
        </w:tc>
        <w:tc>
          <w:tcPr>
            <w:tcW w:w="2841" w:type="dxa"/>
            <w:vAlign w:val="center"/>
          </w:tcPr>
          <w:p w14:paraId="262ECCE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8g</w:t>
            </w:r>
          </w:p>
        </w:tc>
      </w:tr>
      <w:tr w14:paraId="1C86D5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1BF7C60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菠萝</w:t>
            </w:r>
          </w:p>
        </w:tc>
        <w:tc>
          <w:tcPr>
            <w:tcW w:w="3407" w:type="dxa"/>
            <w:vAlign w:val="center"/>
          </w:tcPr>
          <w:p w14:paraId="2022BB97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长度50mm，高度130mm</w:t>
            </w:r>
          </w:p>
        </w:tc>
        <w:tc>
          <w:tcPr>
            <w:tcW w:w="2841" w:type="dxa"/>
            <w:vAlign w:val="center"/>
          </w:tcPr>
          <w:p w14:paraId="70DE427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25.5g</w:t>
            </w:r>
          </w:p>
        </w:tc>
      </w:tr>
    </w:tbl>
    <w:p w14:paraId="5EBE6DF3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6CF02629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各组别从7种道具中随机抽取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种，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对应任务点进行摆放，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参赛队在A01（水果场景区）范围内自主确定摆放位置。</w:t>
      </w:r>
    </w:p>
    <w:p w14:paraId="182F2BA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道具示意图：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如图15所示。</w:t>
      </w:r>
    </w:p>
    <w:p w14:paraId="25592751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3363595" cy="2082165"/>
            <wp:effectExtent l="0" t="0" r="8255" b="13335"/>
            <wp:docPr id="9" name="图片 9" descr="具身智能规则素材_06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具身智能规则素材_06(2)"/>
                    <pic:cNvPicPr>
                      <a:picLocks noChangeAspect="1"/>
                    </pic:cNvPicPr>
                  </pic:nvPicPr>
                  <pic:blipFill>
                    <a:blip r:embed="rId13"/>
                    <a:srcRect l="15746" t="10609" r="12973" b="10952"/>
                    <a:stretch>
                      <a:fillRect/>
                    </a:stretch>
                  </pic:blipFill>
                  <pic:spPr>
                    <a:xfrm>
                      <a:off x="0" y="0"/>
                      <a:ext cx="3363595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0FC7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图15 水果场景区任务道具</w:t>
      </w:r>
    </w:p>
    <w:p w14:paraId="1F3A64B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2.饮品场景区任务道具</w:t>
      </w:r>
    </w:p>
    <w:p w14:paraId="555438C9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道具清单：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可口可乐（330ml罐装）、雪碧（330ml罐装）、芬达（330ml罐装）、王老吉（310ml罐装），共4种，每种各1个。</w:t>
      </w:r>
    </w:p>
    <w:p w14:paraId="5A9846C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材质与要求：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所有道具均为原装未拆封状态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禁止拆封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具体尺寸如下：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4"/>
        <w:gridCol w:w="4825"/>
        <w:gridCol w:w="1423"/>
      </w:tblGrid>
      <w:tr w14:paraId="47490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" w:hRule="atLeast"/>
        </w:trPr>
        <w:tc>
          <w:tcPr>
            <w:tcW w:w="2274" w:type="dxa"/>
            <w:vAlign w:val="center"/>
          </w:tcPr>
          <w:p w14:paraId="1CFBB1B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道具名称</w:t>
            </w:r>
          </w:p>
        </w:tc>
        <w:tc>
          <w:tcPr>
            <w:tcW w:w="4825" w:type="dxa"/>
            <w:vAlign w:val="center"/>
          </w:tcPr>
          <w:p w14:paraId="353DEDF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尺寸参数明细</w:t>
            </w:r>
          </w:p>
        </w:tc>
        <w:tc>
          <w:tcPr>
            <w:tcW w:w="1423" w:type="dxa"/>
            <w:vAlign w:val="center"/>
          </w:tcPr>
          <w:p w14:paraId="3B80401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包装类型</w:t>
            </w:r>
          </w:p>
        </w:tc>
      </w:tr>
      <w:tr w14:paraId="030665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5C4A5E7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可口可乐/雪碧/芬达</w:t>
            </w:r>
          </w:p>
        </w:tc>
        <w:tc>
          <w:tcPr>
            <w:tcW w:w="4825" w:type="dxa"/>
            <w:vAlign w:val="center"/>
          </w:tcPr>
          <w:p w14:paraId="6046C0A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罐身外直径66.0±1.0mm、罐体总高度115.2±1.8mm、罐身侧壁厚度0.11±0.02mm</w:t>
            </w:r>
          </w:p>
        </w:tc>
        <w:tc>
          <w:tcPr>
            <w:tcW w:w="1423" w:type="dxa"/>
            <w:vAlign w:val="center"/>
          </w:tcPr>
          <w:p w14:paraId="1BD2C8A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罐装</w:t>
            </w:r>
          </w:p>
        </w:tc>
      </w:tr>
      <w:tr w14:paraId="3537B7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  <w:vAlign w:val="center"/>
          </w:tcPr>
          <w:p w14:paraId="0686236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王老吉</w:t>
            </w:r>
          </w:p>
        </w:tc>
        <w:tc>
          <w:tcPr>
            <w:tcW w:w="4825" w:type="dxa"/>
            <w:vAlign w:val="center"/>
          </w:tcPr>
          <w:p w14:paraId="3CD2AC8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罐身外直径68.26±1.0mm、罐体总高度114.3±1.7mm、面盖直径60.33±0.9mm、底盖直径65.09±1.0mm</w:t>
            </w:r>
          </w:p>
        </w:tc>
        <w:tc>
          <w:tcPr>
            <w:tcW w:w="1423" w:type="dxa"/>
            <w:vAlign w:val="center"/>
          </w:tcPr>
          <w:p w14:paraId="35B1CFD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罐装</w:t>
            </w:r>
          </w:p>
        </w:tc>
      </w:tr>
    </w:tbl>
    <w:p w14:paraId="7C462756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left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67D3AA5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各组别从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4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种道具中随机抽取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种，垂直摆放于A02（饮品场景区）内，参赛队自主确定具体摆放位置。</w:t>
      </w:r>
    </w:p>
    <w:p w14:paraId="41B7293B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道具示意图：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如图1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6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所示。</w:t>
      </w:r>
    </w:p>
    <w:p w14:paraId="5EC34D9D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4492625" cy="1287145"/>
            <wp:effectExtent l="0" t="0" r="0" b="0"/>
            <wp:docPr id="15" name="图片 15" descr="具身智能规则素材_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具身智能规则素材_07(1)"/>
                    <pic:cNvPicPr>
                      <a:picLocks noChangeAspect="1"/>
                    </pic:cNvPicPr>
                  </pic:nvPicPr>
                  <pic:blipFill>
                    <a:blip r:embed="rId14"/>
                    <a:srcRect l="9055" t="21903" r="5643" b="34655"/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9043F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图16 饮品场景区任务道具</w:t>
      </w:r>
    </w:p>
    <w:p w14:paraId="49F9483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3.工具场景区任务道具</w:t>
      </w:r>
    </w:p>
    <w:p w14:paraId="3075FB2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道具清单：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螺丝刀、扳手、锤子、镊子、剪刀、尺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子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，共6种图案卡片，每种各1张。</w:t>
      </w:r>
    </w:p>
    <w:p w14:paraId="02E227C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材质与规格：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铜版纸材质，正方形结构，边长80mm，图案清晰、色彩鲜明，无遮挡。</w:t>
      </w:r>
    </w:p>
    <w:p w14:paraId="3697D6C5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各组别从6种卡片中随机抽取3种，平放于A03（工具场景区）内，参赛队自主确定具体摆放位置。</w:t>
      </w:r>
    </w:p>
    <w:p w14:paraId="30E503C9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道具示意图：如图1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7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所示。</w:t>
      </w:r>
    </w:p>
    <w:p w14:paraId="1C3EB6C6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3423285" cy="2308225"/>
            <wp:effectExtent l="0" t="0" r="5715" b="15875"/>
            <wp:docPr id="12" name="图片 12" descr="具身智能规则素材_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具身智能规则素材_09(1)"/>
                    <pic:cNvPicPr>
                      <a:picLocks noChangeAspect="1"/>
                    </pic:cNvPicPr>
                  </pic:nvPicPr>
                  <pic:blipFill>
                    <a:blip r:embed="rId15"/>
                    <a:srcRect l="6824" r="9742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51367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图17 工具场景区任务道具</w:t>
      </w:r>
    </w:p>
    <w:p w14:paraId="315D05F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类别标志区道具</w:t>
      </w:r>
    </w:p>
    <w:p w14:paraId="4A9D7069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类别标志区道具由 “基础承载道具” 和 “上层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道具” 组成，两者组合后整体使用，具体规格如下：</w:t>
      </w:r>
    </w:p>
    <w:p w14:paraId="52054DA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基础承载道具：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圆柱形塑料道具，上下底面为等径圆形，无尖锐边角、无毛刺。尺寸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上下底面直径40mm，高度约20mm。材质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硬质塑料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。</w:t>
      </w:r>
    </w:p>
    <w:p w14:paraId="2EFA6EC9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上层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任务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边长50mm的泡沫正方体，颜色不限，无尖锐边角。每个道具上底面居中位置粘合1个直径30mm的圆形电子标签卡片，粘贴牢固，不得脱落。</w:t>
      </w:r>
    </w:p>
    <w:p w14:paraId="5007A6DB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比赛开始前，在每个电子标签卡片内随机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写入2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位数字数据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（2个电子标签卡片数据不重复）。</w:t>
      </w:r>
    </w:p>
    <w:p w14:paraId="4028571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摆放规则：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B01（类别标志A区）、B02（类别标志B区）各配置1套组合道具（1个基础承载道具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+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1个上层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道具）。基础承载道具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粘合在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对应区域中心位置（垂直投影与区域中心重合），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上层任务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道具平稳放置于基础承载道具的上表面位置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（参赛队自主确定具体摆放位置）。</w:t>
      </w:r>
    </w:p>
    <w:p w14:paraId="7C2337EA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道具示意图：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基础承载道具如图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8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所示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，上层任务道具如图19所示。</w:t>
      </w:r>
    </w:p>
    <w:p w14:paraId="32E65C71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jc w:val="center"/>
        <w:textAlignment w:val="baseline"/>
      </w:pPr>
      <w:r>
        <w:drawing>
          <wp:inline distT="0" distB="0" distL="114300" distR="114300">
            <wp:extent cx="1221740" cy="1050290"/>
            <wp:effectExtent l="9525" t="9525" r="26035" b="2603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rcRect l="30724" t="36660" r="36841" b="26191"/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0502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2A2F199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图18 类别标志区任务道具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（基础承载道具）</w:t>
      </w:r>
    </w:p>
    <w:p w14:paraId="2AFE9E9D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2639060" cy="1129030"/>
            <wp:effectExtent l="0" t="0" r="8890" b="13970"/>
            <wp:docPr id="11" name="图片 11" descr="具身智能规则素材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具身智能规则素材_08"/>
                    <pic:cNvPicPr>
                      <a:picLocks noChangeAspect="1"/>
                    </pic:cNvPicPr>
                  </pic:nvPicPr>
                  <pic:blipFill>
                    <a:blip r:embed="rId17"/>
                    <a:srcRect l="25874" t="21732" r="24017" b="40163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14D13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图1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 xml:space="preserve"> 类别标志区任务道具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（上层任务道具）</w:t>
      </w:r>
    </w:p>
    <w:p w14:paraId="1E6A555E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四、竞赛任务与执行流程</w:t>
      </w:r>
    </w:p>
    <w:p w14:paraId="5A05ABD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任务抽签规则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54"/>
        <w:gridCol w:w="3564"/>
        <w:gridCol w:w="2104"/>
      </w:tblGrid>
      <w:tr w14:paraId="326F38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54" w:type="dxa"/>
            <w:vAlign w:val="center"/>
          </w:tcPr>
          <w:p w14:paraId="61CCCEE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参赛组别</w:t>
            </w:r>
          </w:p>
        </w:tc>
        <w:tc>
          <w:tcPr>
            <w:tcW w:w="3564" w:type="dxa"/>
            <w:vAlign w:val="center"/>
          </w:tcPr>
          <w:p w14:paraId="748A27E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场景区 AI 智能识别任务</w:t>
            </w:r>
          </w:p>
          <w:p w14:paraId="582C1B9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（机器人封存后抽签）</w:t>
            </w:r>
          </w:p>
        </w:tc>
        <w:tc>
          <w:tcPr>
            <w:tcW w:w="2104" w:type="dxa"/>
            <w:vAlign w:val="center"/>
          </w:tcPr>
          <w:p w14:paraId="0267D3E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类别标志区任务要求</w:t>
            </w:r>
          </w:p>
        </w:tc>
      </w:tr>
      <w:tr w14:paraId="2EB9D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54" w:type="dxa"/>
            <w:vAlign w:val="center"/>
          </w:tcPr>
          <w:p w14:paraId="726188A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小学组</w:t>
            </w:r>
          </w:p>
        </w:tc>
        <w:tc>
          <w:tcPr>
            <w:tcW w:w="3564" w:type="dxa"/>
            <w:vAlign w:val="center"/>
          </w:tcPr>
          <w:p w14:paraId="491AE93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从A01、A02、A03三个场景区中随机抽取1个</w:t>
            </w:r>
          </w:p>
        </w:tc>
        <w:tc>
          <w:tcPr>
            <w:tcW w:w="2104" w:type="dxa"/>
            <w:vAlign w:val="center"/>
          </w:tcPr>
          <w:p w14:paraId="5A8F8BF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从B01、B02两个类别标志区中随机抽取1个执行</w:t>
            </w:r>
          </w:p>
        </w:tc>
      </w:tr>
      <w:tr w14:paraId="0F50AD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54" w:type="dxa"/>
            <w:vAlign w:val="center"/>
          </w:tcPr>
          <w:p w14:paraId="1C3662C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初中组、高中（中职）组</w:t>
            </w:r>
          </w:p>
        </w:tc>
        <w:tc>
          <w:tcPr>
            <w:tcW w:w="3564" w:type="dxa"/>
            <w:vAlign w:val="center"/>
          </w:tcPr>
          <w:p w14:paraId="72657FF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从A01、A02、A03三个场景区中随机抽取2个</w:t>
            </w:r>
          </w:p>
        </w:tc>
        <w:tc>
          <w:tcPr>
            <w:tcW w:w="2104" w:type="dxa"/>
            <w:vAlign w:val="center"/>
          </w:tcPr>
          <w:p w14:paraId="2A1884E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需完成B01、B02两个类别标志区的全部任务</w:t>
            </w:r>
          </w:p>
        </w:tc>
      </w:tr>
    </w:tbl>
    <w:p w14:paraId="288296B0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781837D7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任务执行步骤与标准</w:t>
      </w:r>
    </w:p>
    <w:p w14:paraId="3F9DEE8A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第一步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场景区AI智能识别任务</w:t>
      </w:r>
    </w:p>
    <w:p w14:paraId="278D862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启动与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行驶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比赛开始后，机器人从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起始区出发，前往抽签确定的场景区。</w:t>
      </w:r>
    </w:p>
    <w:p w14:paraId="7E43BC7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抵达确认：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机器人抵达目标场景区后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机器人立即启动AI智能识别功能，对场景区内的所有道具进行逐一识别，并通过语音模块准确播报道具（播报顺序不做限制，但需确保每个识别成功的道具均有对应播报）。</w:t>
      </w:r>
    </w:p>
    <w:p w14:paraId="4C96C40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第二步：类别标志区抓取与数据读取任务</w:t>
      </w:r>
    </w:p>
    <w:p w14:paraId="687C5E3C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路径规划：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完成场景区语音播报后，机器人自主前往类别标志区（小学组1个，初中组、高中（中职）组2个）。</w:t>
      </w:r>
    </w:p>
    <w:p w14:paraId="321FAC3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精准抓取：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机器人需稳定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逐个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抓取类别标志区道具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（上层任务道具）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，抓取过程中不得损坏道具或电子标签卡片，道具抓取后需保持稳定，不得掉落。</w:t>
      </w:r>
    </w:p>
    <w:p w14:paraId="79F0D4C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数据读取与反馈：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抓取成功后，机器人通过电子标签读取模块读取道具内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的2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位数字数据；读取成功后，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准确显示该数据，同时白色LED灯常亮3秒，之后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显示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与LED灯自动关闭，视为该任务完成；</w:t>
      </w:r>
    </w:p>
    <w:p w14:paraId="64D2466A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第三步：对应运送任务</w:t>
      </w:r>
    </w:p>
    <w:p w14:paraId="6FD542FE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运送要求：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类别标志区任务完成后，机器人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根据场景区AI智能识别任务抽签场景，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将抓取的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上层任务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道具逐个、逐次运送至对应分类放置区，运送过程中道具不得掉落、损坏。</w:t>
      </w:r>
    </w:p>
    <w:p w14:paraId="3F2E73C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B01（类别标志A区）→ C01（A水果区）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/ C02（A饮品区）/C03（A工具区）</w:t>
      </w:r>
    </w:p>
    <w:p w14:paraId="456CFC3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B02（类别标志B区）→C04（B水果区）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/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C0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5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（B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饮品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区）</w:t>
      </w:r>
      <w:r>
        <w:rPr>
          <w:rFonts w:hint="eastAsia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/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C06（B工具区）</w:t>
      </w:r>
    </w:p>
    <w:p w14:paraId="5F82CF2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auto"/>
          <w:kern w:val="0"/>
          <w:sz w:val="32"/>
          <w:szCs w:val="32"/>
          <w:lang w:val="en-US" w:eastAsia="zh-CN"/>
        </w:rPr>
        <w:t>放置标准：</w:t>
      </w:r>
      <w:r>
        <w:rPr>
          <w:rFonts w:hint="default" w:ascii="Times New Roman" w:hAnsi="Times New Roman" w:eastAsia="仿宋_GB2312" w:cs="Times New Roman"/>
          <w:snapToGrid w:val="0"/>
          <w:color w:val="auto"/>
          <w:kern w:val="0"/>
          <w:sz w:val="32"/>
          <w:szCs w:val="32"/>
          <w:lang w:val="en-US" w:eastAsia="zh-CN"/>
        </w:rPr>
        <w:t>道具垂直投影完全进入目标区域（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含压线）为 “完全进入”；部分进入为 “不完全进入”；未进入为 “完全不在区域”。</w:t>
      </w:r>
    </w:p>
    <w:p w14:paraId="0238519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第四步：手势识别任务</w:t>
      </w:r>
    </w:p>
    <w:p w14:paraId="6D696CF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区域抵达：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运送任务完成后，机器人自主前往 C07（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手势识别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区）并稳定停靠。</w:t>
      </w:r>
    </w:p>
    <w:p w14:paraId="5244A817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手势要求：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参赛选手在机器人正上方做出 “剪刀”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“石头”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 xml:space="preserve">“布” 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任意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种规范手势，手势垂直投影需完全在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手势识别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区内，且选手不得接触机器人、道具或场地。</w:t>
      </w:r>
    </w:p>
    <w:p w14:paraId="27BDBB7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识别与应答：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全程人机语音交互，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机器人通过视觉感知模块识别手势，语音播报手势名称；随后自动语音应答该手势的破解策略（即能战胜该手势的手势），两项均准确完成视为任务成功。</w:t>
      </w:r>
    </w:p>
    <w:p w14:paraId="0BF46F4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left"/>
        <w:textAlignment w:val="baseline"/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第五步：完全返回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起始区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任务</w:t>
      </w:r>
    </w:p>
    <w:p w14:paraId="6C7C111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所有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任务执行完毕后，机器人自主规划路径返回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起始区，且整体垂直投影完全落在起始区内，视为本轮比赛任务全部完成。</w:t>
      </w:r>
    </w:p>
    <w:p w14:paraId="302A6D25">
      <w:pPr>
        <w:widowControl/>
        <w:kinsoku w:val="0"/>
        <w:autoSpaceDE w:val="0"/>
        <w:autoSpaceDN w:val="0"/>
        <w:adjustRightInd w:val="0"/>
        <w:snapToGrid w:val="0"/>
        <w:spacing w:line="560" w:lineRule="exact"/>
        <w:ind w:firstLine="640" w:firstLineChars="200"/>
        <w:jc w:val="both"/>
        <w:textAlignment w:val="baseline"/>
        <w:outlineLvl w:val="0"/>
        <w:rPr>
          <w:rFonts w:hint="default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napToGrid w:val="0"/>
          <w:color w:val="auto"/>
          <w:kern w:val="0"/>
          <w:sz w:val="32"/>
          <w:szCs w:val="32"/>
          <w:lang w:val="en-US" w:eastAsia="zh-CN"/>
        </w:rPr>
        <w:t>五、竞赛组织与规则</w:t>
      </w:r>
    </w:p>
    <w:p w14:paraId="0C75D69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（一）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赛制与赛程安排</w:t>
      </w:r>
    </w:p>
    <w:p w14:paraId="194DE1A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比赛轮次：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采用两轮连续比赛制，每支队伍需完成两轮比赛，最终成绩取两轮得分之和，总时长取两轮用时之和。</w:t>
      </w:r>
    </w:p>
    <w:p w14:paraId="312093A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时间限制：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小学组每轮比赛时长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120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 xml:space="preserve">秒（从 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“开始”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口令发出计时），初中组、高中（中职）组每轮180秒；超时未完成比赛，裁判强制终止，按已完成任务计分。</w:t>
      </w:r>
    </w:p>
    <w:p w14:paraId="78F4F786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调试阶段：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总时长90分钟，参赛队在指定调试区域进行机器人编程、调试与功能测试。</w:t>
      </w:r>
    </w:p>
    <w:p w14:paraId="2176D06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封存阶段：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调试完成后，参赛队在机器人醒目位置张贴队伍编号，交由裁判组统一封存管理；比赛期间不得擅自接触封存机器人。</w:t>
      </w:r>
    </w:p>
    <w:p w14:paraId="3D09067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5.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竞赛阶段：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依次进场比赛，每队参赛队员不超过2人，队员需在指定区域观察，不得干扰比赛秩序。</w:t>
      </w:r>
    </w:p>
    <w:p w14:paraId="67DF68DE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（二）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参赛行为规范</w:t>
      </w:r>
    </w:p>
    <w:p w14:paraId="3D560BF4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物品携带：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仅允许携带已搭建完成的机器人进入调试区，禁止携带U盘、光盘、手机、相机、无线路由器等存储设备、通信工具及与比赛无关的物品。</w:t>
      </w:r>
    </w:p>
    <w:p w14:paraId="32302F9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机器人启动：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裁判员发出 “3、2、1，开始” 口令后，参赛选手方可启动机器人；口令发出前启动视为 “误启动”，首次误启动给予口头警告，再次误启动取消本轮比赛资格。</w:t>
      </w:r>
    </w:p>
    <w:p w14:paraId="2482646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3.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比赛过程操作：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机器人离开起始区后，参赛选手不得触碰机器人、道具、场地或干扰其他队伍比赛；若零件脱落，在不影响比赛秩序的前提下，可向裁判申请取回，不得自行进入场地操作。</w:t>
      </w:r>
    </w:p>
    <w:p w14:paraId="27C7FDEA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4.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场地复原：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每场比赛结束后，裁判组负责复原场地及道具，下一队参赛前需确认场地状态无误后再开始比赛。</w:t>
      </w:r>
    </w:p>
    <w:p w14:paraId="5AA9A67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320" w:firstLineChars="100"/>
        <w:jc w:val="both"/>
        <w:textAlignment w:val="baseline"/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（三）</w:t>
      </w:r>
      <w:r>
        <w:rPr>
          <w:rFonts w:hint="default" w:ascii="Times New Roman" w:hAnsi="Times New Roman" w:eastAsia="仿宋_GB2312" w:cs="Times New Roman"/>
          <w:b w:val="0"/>
          <w:bCs w:val="0"/>
          <w:snapToGrid w:val="0"/>
          <w:color w:val="000000"/>
          <w:kern w:val="0"/>
          <w:sz w:val="32"/>
          <w:szCs w:val="32"/>
          <w:lang w:val="en-US" w:eastAsia="zh-CN"/>
        </w:rPr>
        <w:t>计分标准与排名规则</w:t>
      </w:r>
    </w:p>
    <w:p w14:paraId="7B3678C5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1.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计分标准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关于任务道具物块进入的标准主要分为三类：完全进入（包含压线），不完全进入，完全不在区域。如图20所示。</w:t>
      </w:r>
    </w:p>
    <w:p w14:paraId="55A0DD1E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0" w:firstLineChars="200"/>
        <w:jc w:val="center"/>
        <w:textAlignment w:val="baseline"/>
        <w:rPr>
          <w:rFonts w:hint="default" w:ascii="仿宋" w:hAnsi="仿宋" w:eastAsia="仿宋" w:cs="仿宋"/>
          <w:sz w:val="24"/>
          <w:szCs w:val="32"/>
          <w:lang w:val="en-US" w:eastAsia="zh-CN"/>
        </w:rPr>
      </w:pPr>
      <w:r>
        <w:rPr>
          <w:rFonts w:hint="default" w:ascii="仿宋" w:hAnsi="仿宋" w:eastAsia="仿宋" w:cs="仿宋"/>
          <w:sz w:val="24"/>
          <w:szCs w:val="32"/>
          <w:lang w:val="en-US" w:eastAsia="zh-CN"/>
        </w:rPr>
        <w:drawing>
          <wp:inline distT="0" distB="0" distL="114300" distR="114300">
            <wp:extent cx="4401185" cy="1952625"/>
            <wp:effectExtent l="0" t="0" r="18415" b="9525"/>
            <wp:docPr id="14" name="图片 14" descr="具身智能规则素材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具身智能规则素材_10"/>
                    <pic:cNvPicPr>
                      <a:picLocks noChangeAspect="1"/>
                    </pic:cNvPicPr>
                  </pic:nvPicPr>
                  <pic:blipFill>
                    <a:blip r:embed="rId18"/>
                    <a:srcRect l="9778" t="14016" r="6655" b="20081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A33E3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ind w:firstLine="482" w:firstLineChars="200"/>
        <w:jc w:val="center"/>
        <w:textAlignment w:val="baseline"/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图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20</w:t>
      </w: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仿宋" w:cs="Times New Roman"/>
          <w:b/>
          <w:bCs/>
          <w:snapToGrid w:val="0"/>
          <w:color w:val="000000"/>
          <w:kern w:val="0"/>
          <w:sz w:val="24"/>
          <w:szCs w:val="24"/>
          <w:lang w:val="en-US" w:eastAsia="zh-CN"/>
        </w:rPr>
        <w:t>“进入标准”示意图</w:t>
      </w:r>
    </w:p>
    <w:tbl>
      <w:tblPr>
        <w:tblStyle w:val="4"/>
        <w:tblW w:w="9765" w:type="dxa"/>
        <w:tblInd w:w="-8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0"/>
        <w:gridCol w:w="3015"/>
        <w:gridCol w:w="5940"/>
      </w:tblGrid>
      <w:tr w14:paraId="70F4CF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 w14:paraId="566ADF1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任务序号</w:t>
            </w:r>
          </w:p>
        </w:tc>
        <w:tc>
          <w:tcPr>
            <w:tcW w:w="3015" w:type="dxa"/>
            <w:vAlign w:val="center"/>
          </w:tcPr>
          <w:p w14:paraId="6697137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任务名称</w:t>
            </w:r>
          </w:p>
        </w:tc>
        <w:tc>
          <w:tcPr>
            <w:tcW w:w="5940" w:type="dxa"/>
            <w:vAlign w:val="center"/>
          </w:tcPr>
          <w:p w14:paraId="6BE1FAA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计分规则</w:t>
            </w:r>
          </w:p>
        </w:tc>
      </w:tr>
      <w:tr w14:paraId="346688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" w:hRule="atLeast"/>
        </w:trPr>
        <w:tc>
          <w:tcPr>
            <w:tcW w:w="810" w:type="dxa"/>
            <w:vAlign w:val="center"/>
          </w:tcPr>
          <w:p w14:paraId="108F577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3015" w:type="dxa"/>
            <w:vAlign w:val="center"/>
          </w:tcPr>
          <w:p w14:paraId="5522EA6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机器人启动</w:t>
            </w:r>
          </w:p>
        </w:tc>
        <w:tc>
          <w:tcPr>
            <w:tcW w:w="5940" w:type="dxa"/>
            <w:vAlign w:val="center"/>
          </w:tcPr>
          <w:p w14:paraId="7F75000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机器人成功启动，并开始移动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得15分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  <w:tr w14:paraId="3BAD1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 w14:paraId="601FDA3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3015" w:type="dxa"/>
            <w:vAlign w:val="center"/>
          </w:tcPr>
          <w:p w14:paraId="2B37B54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AI 智能识别与语音播报</w:t>
            </w:r>
          </w:p>
        </w:tc>
        <w:tc>
          <w:tcPr>
            <w:tcW w:w="5940" w:type="dxa"/>
          </w:tcPr>
          <w:p w14:paraId="4906AAA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每个抽签场景区成功完成抵达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，每个道具识别准确并语音播报正确，得10分/个；识别错误或未播报，不得分；</w:t>
            </w:r>
          </w:p>
        </w:tc>
      </w:tr>
      <w:tr w14:paraId="21D0D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810" w:type="dxa"/>
            <w:vAlign w:val="center"/>
          </w:tcPr>
          <w:p w14:paraId="16DF121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3015" w:type="dxa"/>
            <w:vAlign w:val="center"/>
          </w:tcPr>
          <w:p w14:paraId="48F1BFC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类别标志区道具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（上层任务道具）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抓取</w:t>
            </w:r>
          </w:p>
        </w:tc>
        <w:tc>
          <w:tcPr>
            <w:tcW w:w="5940" w:type="dxa"/>
            <w:vAlign w:val="center"/>
          </w:tcPr>
          <w:p w14:paraId="51A073C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道具抓取成功，得10分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  <w:tr w14:paraId="3D1F02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 w14:paraId="4AE58CE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3015" w:type="dxa"/>
            <w:vAlign w:val="center"/>
          </w:tcPr>
          <w:p w14:paraId="1812655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电子标签数据读取与反馈</w:t>
            </w:r>
          </w:p>
        </w:tc>
        <w:tc>
          <w:tcPr>
            <w:tcW w:w="5940" w:type="dxa"/>
          </w:tcPr>
          <w:p w14:paraId="061EF19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每个道具数据读取成功、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正确显示且 LED 灯常亮3秒，得10分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；读取失败或显示异常，得5分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/个；</w:t>
            </w:r>
          </w:p>
        </w:tc>
      </w:tr>
      <w:tr w14:paraId="3B5AE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 w14:paraId="2879B12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3015" w:type="dxa"/>
            <w:vAlign w:val="center"/>
          </w:tcPr>
          <w:p w14:paraId="05373434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道具运送至分类放置区</w:t>
            </w:r>
          </w:p>
        </w:tc>
        <w:tc>
          <w:tcPr>
            <w:tcW w:w="5940" w:type="dxa"/>
            <w:vAlign w:val="center"/>
          </w:tcPr>
          <w:p w14:paraId="6D3761D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240" w:hanging="240" w:hangingChars="100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每个道具完全进入目标区域，得10分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；不完全进入，得5分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/个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完全不在区域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，不得分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  <w:tr w14:paraId="21B3B9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0" w:type="dxa"/>
            <w:vAlign w:val="center"/>
          </w:tcPr>
          <w:p w14:paraId="454B4CD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3015" w:type="dxa"/>
            <w:vAlign w:val="center"/>
          </w:tcPr>
          <w:p w14:paraId="298A250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手势识别与破解策略应答</w:t>
            </w:r>
          </w:p>
        </w:tc>
        <w:tc>
          <w:tcPr>
            <w:tcW w:w="5940" w:type="dxa"/>
          </w:tcPr>
          <w:p w14:paraId="3C969BB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手势识别准确播报正确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得10分，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破解策略应答正确，得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10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分；</w:t>
            </w:r>
          </w:p>
        </w:tc>
      </w:tr>
      <w:tr w14:paraId="513A09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</w:trPr>
        <w:tc>
          <w:tcPr>
            <w:tcW w:w="810" w:type="dxa"/>
            <w:vAlign w:val="center"/>
          </w:tcPr>
          <w:p w14:paraId="6661606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3015" w:type="dxa"/>
            <w:vAlign w:val="center"/>
          </w:tcPr>
          <w:p w14:paraId="680B444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完全返回起始区</w:t>
            </w:r>
          </w:p>
        </w:tc>
        <w:tc>
          <w:tcPr>
            <w:tcW w:w="5940" w:type="dxa"/>
            <w:vAlign w:val="center"/>
          </w:tcPr>
          <w:p w14:paraId="6946FB9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机器人完全返回起始区得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15</w:t>
            </w: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auto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</w:tr>
    </w:tbl>
    <w:p w14:paraId="1ECF2E7C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3" w:firstLineChars="200"/>
        <w:jc w:val="both"/>
        <w:textAlignment w:val="baseline"/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2.</w:t>
      </w:r>
      <w:r>
        <w:rPr>
          <w:rFonts w:hint="default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排名规则</w:t>
      </w:r>
      <w:r>
        <w:rPr>
          <w:rFonts w:hint="eastAsia" w:ascii="Times New Roman" w:hAnsi="Times New Roman" w:eastAsia="仿宋_GB2312" w:cs="Times New Roman"/>
          <w:b/>
          <w:bCs/>
          <w:snapToGrid w:val="0"/>
          <w:color w:val="000000"/>
          <w:kern w:val="0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按两轮比赛总分从高到低排序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若总分相同，两轮比赛总用时较短的队伍排名靠前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，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若总分与总用时均相同，单场比赛最高得分较高的队伍排名靠前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。</w:t>
      </w:r>
      <w:r>
        <w:rPr>
          <w:rFonts w:hint="default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若以上均相同，单场最高得分对应的比赛用时较短的队伍排名靠前</w:t>
      </w:r>
      <w:r>
        <w:rPr>
          <w:rFonts w:hint="eastAsia" w:ascii="Times New Roman" w:hAnsi="Times New Roman" w:eastAsia="仿宋_GB2312" w:cs="Times New Roman"/>
          <w:snapToGrid w:val="0"/>
          <w:color w:val="000000"/>
          <w:kern w:val="0"/>
          <w:sz w:val="32"/>
          <w:szCs w:val="32"/>
          <w:lang w:val="en-US" w:eastAsia="zh-CN"/>
        </w:rPr>
        <w:t>。</w:t>
      </w:r>
    </w:p>
    <w:p w14:paraId="52959F84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60F4EF84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1FB1F6C9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73230D27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47563537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5538B2FB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2B5B167B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p w14:paraId="673963F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i w:val="0"/>
          <w:iCs w:val="0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sz w:val="32"/>
          <w:szCs w:val="40"/>
          <w:lang w:val="en-US" w:eastAsia="zh-CN"/>
        </w:rPr>
        <w:t>具身智能竞赛计分表</w:t>
      </w:r>
    </w:p>
    <w:p w14:paraId="55E961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lang w:val="en-US" w:eastAsia="zh-CN"/>
        </w:rPr>
        <w:t>组别：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  <w:t xml:space="preserve">                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lang w:val="en-US" w:eastAsia="zh-CN"/>
        </w:rPr>
        <w:t>参赛学校：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  <w:t xml:space="preserve">              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lang w:val="en-US" w:eastAsia="zh-CN"/>
        </w:rPr>
        <w:t>队伍编号：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sz w:val="24"/>
          <w:szCs w:val="32"/>
          <w:u w:val="single"/>
          <w:lang w:val="en-US" w:eastAsia="zh-CN"/>
        </w:rPr>
        <w:t xml:space="preserve">               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8"/>
        <w:gridCol w:w="1311"/>
        <w:gridCol w:w="1674"/>
        <w:gridCol w:w="765"/>
        <w:gridCol w:w="945"/>
        <w:gridCol w:w="975"/>
        <w:gridCol w:w="975"/>
        <w:gridCol w:w="1039"/>
      </w:tblGrid>
      <w:tr w14:paraId="23B427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8" w:type="dxa"/>
            <w:vAlign w:val="center"/>
          </w:tcPr>
          <w:p w14:paraId="7408B107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任务序号</w:t>
            </w:r>
          </w:p>
        </w:tc>
        <w:tc>
          <w:tcPr>
            <w:tcW w:w="2985" w:type="dxa"/>
            <w:gridSpan w:val="2"/>
            <w:vAlign w:val="center"/>
          </w:tcPr>
          <w:p w14:paraId="28AF2E2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任务要求</w:t>
            </w:r>
          </w:p>
        </w:tc>
        <w:tc>
          <w:tcPr>
            <w:tcW w:w="765" w:type="dxa"/>
            <w:vAlign w:val="center"/>
          </w:tcPr>
          <w:p w14:paraId="0CCF524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分值</w:t>
            </w:r>
          </w:p>
        </w:tc>
        <w:tc>
          <w:tcPr>
            <w:tcW w:w="945" w:type="dxa"/>
            <w:vAlign w:val="center"/>
          </w:tcPr>
          <w:p w14:paraId="28A8678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第一轮</w:t>
            </w:r>
          </w:p>
          <w:p w14:paraId="47F68A64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完成</w:t>
            </w:r>
          </w:p>
        </w:tc>
        <w:tc>
          <w:tcPr>
            <w:tcW w:w="975" w:type="dxa"/>
            <w:vAlign w:val="center"/>
          </w:tcPr>
          <w:p w14:paraId="0D103E3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第一轮</w:t>
            </w:r>
          </w:p>
          <w:p w14:paraId="5530949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得分</w:t>
            </w:r>
          </w:p>
        </w:tc>
        <w:tc>
          <w:tcPr>
            <w:tcW w:w="975" w:type="dxa"/>
            <w:vAlign w:val="center"/>
          </w:tcPr>
          <w:p w14:paraId="19F33A8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第二轮</w:t>
            </w:r>
          </w:p>
          <w:p w14:paraId="54E4003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完成</w:t>
            </w:r>
          </w:p>
        </w:tc>
        <w:tc>
          <w:tcPr>
            <w:tcW w:w="1039" w:type="dxa"/>
            <w:vAlign w:val="center"/>
          </w:tcPr>
          <w:p w14:paraId="4B8C1B5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第二轮</w:t>
            </w:r>
          </w:p>
          <w:p w14:paraId="4F43EB1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/>
                <w:bCs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得分</w:t>
            </w:r>
          </w:p>
        </w:tc>
      </w:tr>
      <w:tr w14:paraId="40CFDB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8" w:type="dxa"/>
            <w:vAlign w:val="center"/>
          </w:tcPr>
          <w:p w14:paraId="3EB3854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2985" w:type="dxa"/>
            <w:gridSpan w:val="2"/>
            <w:vAlign w:val="center"/>
          </w:tcPr>
          <w:p w14:paraId="7C53352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机器人成功启动，并开始移动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  <w:tc>
          <w:tcPr>
            <w:tcW w:w="765" w:type="dxa"/>
            <w:vAlign w:val="center"/>
          </w:tcPr>
          <w:p w14:paraId="29770D6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15分</w:t>
            </w:r>
          </w:p>
        </w:tc>
        <w:tc>
          <w:tcPr>
            <w:tcW w:w="945" w:type="dxa"/>
            <w:vAlign w:val="center"/>
          </w:tcPr>
          <w:p w14:paraId="29D9C53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 w14:paraId="7A80682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 w14:paraId="58DB7777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  <w:vAlign w:val="center"/>
          </w:tcPr>
          <w:p w14:paraId="64D94CC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F4B5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8" w:type="dxa"/>
            <w:vAlign w:val="center"/>
          </w:tcPr>
          <w:p w14:paraId="35867E6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2985" w:type="dxa"/>
            <w:gridSpan w:val="2"/>
          </w:tcPr>
          <w:p w14:paraId="215D701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每个抽签场景区成功完成抵达，每个道具识别准确并语音播报正确；识别错误或未播报，不得分；</w:t>
            </w:r>
          </w:p>
        </w:tc>
        <w:tc>
          <w:tcPr>
            <w:tcW w:w="765" w:type="dxa"/>
            <w:vAlign w:val="center"/>
          </w:tcPr>
          <w:p w14:paraId="0E639DB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 w14:paraId="11F5616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 w14:paraId="46A0194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0FE96CC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1EFBB81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BB6F6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1" w:hRule="atLeast"/>
        </w:trPr>
        <w:tc>
          <w:tcPr>
            <w:tcW w:w="838" w:type="dxa"/>
            <w:vAlign w:val="center"/>
          </w:tcPr>
          <w:p w14:paraId="097346D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2985" w:type="dxa"/>
            <w:gridSpan w:val="2"/>
            <w:vAlign w:val="center"/>
          </w:tcPr>
          <w:p w14:paraId="509A073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类别标志区道具（上层任务道具）每个道具抓取成功，得10分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/个；</w:t>
            </w:r>
          </w:p>
        </w:tc>
        <w:tc>
          <w:tcPr>
            <w:tcW w:w="765" w:type="dxa"/>
            <w:vAlign w:val="center"/>
          </w:tcPr>
          <w:p w14:paraId="7AFB3E1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 w14:paraId="67F8093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 w14:paraId="7501E73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077B603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0D97CD6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68362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1" w:hRule="atLeast"/>
        </w:trPr>
        <w:tc>
          <w:tcPr>
            <w:tcW w:w="838" w:type="dxa"/>
            <w:vMerge w:val="restart"/>
            <w:vAlign w:val="center"/>
          </w:tcPr>
          <w:p w14:paraId="1E92E3A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2985" w:type="dxa"/>
            <w:gridSpan w:val="2"/>
            <w:vMerge w:val="restart"/>
          </w:tcPr>
          <w:p w14:paraId="077F181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每个道具数据读取成功、机器人正确显示且 LED 灯常亮3秒，得10分；读取失败或显示异常，得5分；</w:t>
            </w:r>
          </w:p>
        </w:tc>
        <w:tc>
          <w:tcPr>
            <w:tcW w:w="765" w:type="dxa"/>
            <w:vAlign w:val="center"/>
          </w:tcPr>
          <w:p w14:paraId="0B1940D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 w14:paraId="541F411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 w14:paraId="686B5C8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7130522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7C4A28B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98B57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838" w:type="dxa"/>
            <w:vMerge w:val="continue"/>
            <w:vAlign w:val="center"/>
          </w:tcPr>
          <w:p w14:paraId="6FE54EF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985" w:type="dxa"/>
            <w:gridSpan w:val="2"/>
            <w:vMerge w:val="continue"/>
          </w:tcPr>
          <w:p w14:paraId="5CF7D46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765" w:type="dxa"/>
            <w:vAlign w:val="center"/>
          </w:tcPr>
          <w:p w14:paraId="0681A98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5分</w:t>
            </w:r>
          </w:p>
        </w:tc>
        <w:tc>
          <w:tcPr>
            <w:tcW w:w="945" w:type="dxa"/>
            <w:vAlign w:val="center"/>
          </w:tcPr>
          <w:p w14:paraId="47C7F4F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 w14:paraId="7C03C94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2A11D20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6F5FFF5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79101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01" w:hRule="atLeast"/>
        </w:trPr>
        <w:tc>
          <w:tcPr>
            <w:tcW w:w="838" w:type="dxa"/>
            <w:vMerge w:val="restart"/>
            <w:vAlign w:val="center"/>
          </w:tcPr>
          <w:p w14:paraId="61C37BD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2985" w:type="dxa"/>
            <w:gridSpan w:val="2"/>
            <w:vMerge w:val="restart"/>
          </w:tcPr>
          <w:p w14:paraId="3D49392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每个道具完全进入目标区域，得10分；不完全进入，得5分；完全不在区域，不得分；</w:t>
            </w:r>
          </w:p>
        </w:tc>
        <w:tc>
          <w:tcPr>
            <w:tcW w:w="765" w:type="dxa"/>
            <w:vAlign w:val="center"/>
          </w:tcPr>
          <w:p w14:paraId="125159D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 w14:paraId="65F88A0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 w14:paraId="60E2DF27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6BEFFC4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00527DC8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CD1F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8" w:type="dxa"/>
            <w:vMerge w:val="continue"/>
            <w:vAlign w:val="center"/>
          </w:tcPr>
          <w:p w14:paraId="5F7EBB6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985" w:type="dxa"/>
            <w:gridSpan w:val="2"/>
            <w:vMerge w:val="continue"/>
          </w:tcPr>
          <w:p w14:paraId="4DC360A7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lef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765" w:type="dxa"/>
            <w:vAlign w:val="center"/>
          </w:tcPr>
          <w:p w14:paraId="0E39B5F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5分</w:t>
            </w:r>
          </w:p>
        </w:tc>
        <w:tc>
          <w:tcPr>
            <w:tcW w:w="945" w:type="dxa"/>
            <w:vAlign w:val="center"/>
          </w:tcPr>
          <w:p w14:paraId="38770F3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个</w:t>
            </w:r>
          </w:p>
        </w:tc>
        <w:tc>
          <w:tcPr>
            <w:tcW w:w="975" w:type="dxa"/>
          </w:tcPr>
          <w:p w14:paraId="4FACCD9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7A5A1E2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39C9F38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109A4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8" w:type="dxa"/>
            <w:vMerge w:val="restart"/>
            <w:vAlign w:val="center"/>
          </w:tcPr>
          <w:p w14:paraId="41BE9AC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2985" w:type="dxa"/>
            <w:gridSpan w:val="2"/>
            <w:vAlign w:val="center"/>
          </w:tcPr>
          <w:p w14:paraId="149F5E6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手势识别准确播报正确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  <w:tc>
          <w:tcPr>
            <w:tcW w:w="765" w:type="dxa"/>
            <w:vAlign w:val="center"/>
          </w:tcPr>
          <w:p w14:paraId="7330BCC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 w14:paraId="1A53299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34EC0E1E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7BA9556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727AFC1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E294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38" w:type="dxa"/>
            <w:vMerge w:val="continue"/>
            <w:vAlign w:val="center"/>
          </w:tcPr>
          <w:p w14:paraId="413B105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985" w:type="dxa"/>
            <w:gridSpan w:val="2"/>
            <w:vAlign w:val="center"/>
          </w:tcPr>
          <w:p w14:paraId="24880925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破解策略应答正确</w:t>
            </w: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；</w:t>
            </w:r>
          </w:p>
        </w:tc>
        <w:tc>
          <w:tcPr>
            <w:tcW w:w="765" w:type="dxa"/>
            <w:vAlign w:val="center"/>
          </w:tcPr>
          <w:p w14:paraId="60838D7A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10分</w:t>
            </w:r>
          </w:p>
        </w:tc>
        <w:tc>
          <w:tcPr>
            <w:tcW w:w="945" w:type="dxa"/>
            <w:vAlign w:val="center"/>
          </w:tcPr>
          <w:p w14:paraId="7951D937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right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3AACD544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</w:tcPr>
          <w:p w14:paraId="3B825DC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</w:tcPr>
          <w:p w14:paraId="3BAB2A84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59DD01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838" w:type="dxa"/>
            <w:vAlign w:val="center"/>
          </w:tcPr>
          <w:p w14:paraId="5968F13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2985" w:type="dxa"/>
            <w:gridSpan w:val="2"/>
            <w:vAlign w:val="center"/>
          </w:tcPr>
          <w:p w14:paraId="2D5942B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机器人完全返回起始区；</w:t>
            </w:r>
          </w:p>
        </w:tc>
        <w:tc>
          <w:tcPr>
            <w:tcW w:w="765" w:type="dxa"/>
            <w:vAlign w:val="center"/>
          </w:tcPr>
          <w:p w14:paraId="48DD809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15分</w:t>
            </w:r>
          </w:p>
        </w:tc>
        <w:tc>
          <w:tcPr>
            <w:tcW w:w="945" w:type="dxa"/>
            <w:vAlign w:val="center"/>
          </w:tcPr>
          <w:p w14:paraId="6AC50C3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 w14:paraId="116AD64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75" w:type="dxa"/>
            <w:vAlign w:val="center"/>
          </w:tcPr>
          <w:p w14:paraId="6C05527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39" w:type="dxa"/>
            <w:vAlign w:val="center"/>
          </w:tcPr>
          <w:p w14:paraId="4A5A252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5B8C8A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 w14:paraId="6FDACDFB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每轮得分</w:t>
            </w:r>
          </w:p>
        </w:tc>
        <w:tc>
          <w:tcPr>
            <w:tcW w:w="1920" w:type="dxa"/>
            <w:gridSpan w:val="2"/>
            <w:vAlign w:val="center"/>
          </w:tcPr>
          <w:p w14:paraId="3B557FEF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014" w:type="dxa"/>
            <w:gridSpan w:val="2"/>
          </w:tcPr>
          <w:p w14:paraId="70A6029C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B8F6E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 w14:paraId="7CA1D4D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每轮时长/秒</w:t>
            </w:r>
          </w:p>
        </w:tc>
        <w:tc>
          <w:tcPr>
            <w:tcW w:w="1920" w:type="dxa"/>
            <w:gridSpan w:val="2"/>
            <w:vAlign w:val="center"/>
          </w:tcPr>
          <w:p w14:paraId="1FA36B3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2014" w:type="dxa"/>
            <w:gridSpan w:val="2"/>
          </w:tcPr>
          <w:p w14:paraId="4406D7F3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49A8B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 w14:paraId="3226EFC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两轮总分合计</w:t>
            </w:r>
          </w:p>
        </w:tc>
        <w:tc>
          <w:tcPr>
            <w:tcW w:w="3934" w:type="dxa"/>
            <w:gridSpan w:val="4"/>
            <w:vAlign w:val="center"/>
          </w:tcPr>
          <w:p w14:paraId="6A27FA36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8482D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4588" w:type="dxa"/>
            <w:gridSpan w:val="4"/>
            <w:vAlign w:val="center"/>
          </w:tcPr>
          <w:p w14:paraId="2644D680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两轮总时长合计/秒</w:t>
            </w:r>
          </w:p>
        </w:tc>
        <w:tc>
          <w:tcPr>
            <w:tcW w:w="3934" w:type="dxa"/>
            <w:gridSpan w:val="4"/>
            <w:vAlign w:val="center"/>
          </w:tcPr>
          <w:p w14:paraId="7BE8C60D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9D29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8522" w:type="dxa"/>
            <w:gridSpan w:val="8"/>
            <w:vAlign w:val="center"/>
          </w:tcPr>
          <w:p w14:paraId="760E8B19">
            <w:pPr>
              <w:widowControl/>
              <w:tabs>
                <w:tab w:val="left" w:pos="2971"/>
              </w:tabs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仿宋" w:hAnsi="仿宋" w:eastAsia="仿宋" w:cs="仿宋"/>
                <w:sz w:val="24"/>
                <w:szCs w:val="32"/>
                <w:vertAlign w:val="baseline"/>
                <w:lang w:val="en-US" w:eastAsia="zh-CN"/>
              </w:rPr>
              <w:t>本人已确认以上比赛得分记录结果，真实有效，无任何异议。</w:t>
            </w:r>
          </w:p>
        </w:tc>
      </w:tr>
      <w:tr w14:paraId="20CEA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149" w:type="dxa"/>
            <w:gridSpan w:val="2"/>
            <w:vAlign w:val="center"/>
          </w:tcPr>
          <w:p w14:paraId="7D4D026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裁判员签字：</w:t>
            </w:r>
          </w:p>
        </w:tc>
        <w:tc>
          <w:tcPr>
            <w:tcW w:w="6373" w:type="dxa"/>
            <w:gridSpan w:val="6"/>
            <w:vAlign w:val="center"/>
          </w:tcPr>
          <w:p w14:paraId="17D481D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7328A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149" w:type="dxa"/>
            <w:gridSpan w:val="2"/>
            <w:vAlign w:val="center"/>
          </w:tcPr>
          <w:p w14:paraId="498ECFC4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参赛员签字：</w:t>
            </w:r>
          </w:p>
        </w:tc>
        <w:tc>
          <w:tcPr>
            <w:tcW w:w="6373" w:type="dxa"/>
            <w:gridSpan w:val="6"/>
            <w:vAlign w:val="center"/>
          </w:tcPr>
          <w:p w14:paraId="794D7731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DEFF9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149" w:type="dxa"/>
            <w:gridSpan w:val="2"/>
            <w:vAlign w:val="center"/>
          </w:tcPr>
          <w:p w14:paraId="3F094112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  <w:t>问题及备注：</w:t>
            </w:r>
          </w:p>
        </w:tc>
        <w:tc>
          <w:tcPr>
            <w:tcW w:w="6373" w:type="dxa"/>
            <w:gridSpan w:val="6"/>
            <w:vAlign w:val="center"/>
          </w:tcPr>
          <w:p w14:paraId="46419149">
            <w:pPr>
              <w:widowControl/>
              <w:kinsoku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b w:val="0"/>
                <w:bCs w:val="0"/>
                <w:snapToGrid w:val="0"/>
                <w:color w:val="000000"/>
                <w:kern w:val="0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4D3E1AF2">
      <w:pPr>
        <w:widowControl/>
        <w:kinsoku w:val="0"/>
        <w:autoSpaceDE w:val="0"/>
        <w:autoSpaceDN w:val="0"/>
        <w:bidi w:val="0"/>
        <w:adjustRightInd w:val="0"/>
        <w:snapToGrid w:val="0"/>
        <w:spacing w:line="360" w:lineRule="auto"/>
        <w:jc w:val="both"/>
        <w:textAlignment w:val="baseline"/>
        <w:rPr>
          <w:rFonts w:hint="default" w:ascii="Times New Roman" w:hAnsi="Times New Roman" w:eastAsia="仿宋" w:cs="Times New Roman"/>
          <w:b w:val="0"/>
          <w:bCs w:val="0"/>
          <w:snapToGrid w:val="0"/>
          <w:color w:val="000000"/>
          <w:kern w:val="0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A10550">
    <w:pPr>
      <w:spacing w:line="192" w:lineRule="auto"/>
      <w:ind w:left="4080"/>
      <w:rPr>
        <w:rFonts w:ascii="宋体" w:hAnsi="宋体" w:eastAsia="宋体" w:cs="宋体"/>
        <w:sz w:val="17"/>
        <w:szCs w:val="17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EF075E4"/>
    <w:rsid w:val="047A4EA3"/>
    <w:rsid w:val="074F6CCC"/>
    <w:rsid w:val="15791A87"/>
    <w:rsid w:val="15AC7766"/>
    <w:rsid w:val="173F3D2B"/>
    <w:rsid w:val="1B170F9D"/>
    <w:rsid w:val="200F584A"/>
    <w:rsid w:val="221E379A"/>
    <w:rsid w:val="23045086"/>
    <w:rsid w:val="279C010A"/>
    <w:rsid w:val="2E2E6E12"/>
    <w:rsid w:val="2EF075E4"/>
    <w:rsid w:val="2F8F7AE2"/>
    <w:rsid w:val="2FC11607"/>
    <w:rsid w:val="2FE9188B"/>
    <w:rsid w:val="37C624B2"/>
    <w:rsid w:val="3A7E0E22"/>
    <w:rsid w:val="3CAC611A"/>
    <w:rsid w:val="3D5B544A"/>
    <w:rsid w:val="40AA0BC3"/>
    <w:rsid w:val="414D154E"/>
    <w:rsid w:val="438308FC"/>
    <w:rsid w:val="52777209"/>
    <w:rsid w:val="5BB5790E"/>
    <w:rsid w:val="5D97387D"/>
    <w:rsid w:val="65110961"/>
    <w:rsid w:val="74D1126D"/>
    <w:rsid w:val="798677EE"/>
    <w:rsid w:val="7AC06311"/>
    <w:rsid w:val="7FD77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4867</Words>
  <Characters>5288</Characters>
  <Lines>0</Lines>
  <Paragraphs>0</Paragraphs>
  <TotalTime>16</TotalTime>
  <ScaleCrop>false</ScaleCrop>
  <LinksUpToDate>false</LinksUpToDate>
  <CharactersWithSpaces>5371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2025-12-01T08:10:00Z</dcterms:created>
  <dc:creator>老狗</dc:creator>
  <cp:lastModifiedBy>WPS_1650506111</cp:lastModifiedBy>
  <dcterms:modified xsi:type="dcterms:W3CDTF">2026-04-08T03:54:00Z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30C6EB974B85410E9C57E000856AC64D_13</vt:lpwstr>
  </property>
  <property fmtid="{D5CDD505-2E9C-101B-9397-08002B2CF9AE}" pid="4" name="KSOTemplateDocerSaveRecord">
    <vt:lpwstr>eyJoZGlkIjoiMWVhNGYzYjY1MmY5NmFhNThlNjI1NDAyNTJlZDZiM2IiLCJ1c2VySWQiOiIxMzYyNzI1OTY5In0=</vt:lpwstr>
  </property>
</Properties>
</file>