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E66B1">
      <w:pPr>
        <w:pStyle w:val="2"/>
        <w:spacing w:line="245" w:lineRule="auto"/>
      </w:pPr>
    </w:p>
    <w:p w14:paraId="1540D3FC">
      <w:pPr>
        <w:pStyle w:val="2"/>
        <w:spacing w:line="246" w:lineRule="auto"/>
      </w:pPr>
    </w:p>
    <w:p w14:paraId="369A093A">
      <w:pPr>
        <w:pStyle w:val="2"/>
        <w:spacing w:line="246" w:lineRule="auto"/>
      </w:pPr>
    </w:p>
    <w:p w14:paraId="33A8809D">
      <w:pPr>
        <w:spacing w:before="178" w:line="225" w:lineRule="auto"/>
        <w:ind w:left="2448"/>
        <w:jc w:val="both"/>
        <w:rPr>
          <w:rFonts w:ascii="黑体" w:hAnsi="黑体" w:eastAsia="黑体" w:cs="黑体"/>
          <w:sz w:val="55"/>
          <w:szCs w:val="55"/>
        </w:rPr>
      </w:pPr>
      <w:r>
        <w:rPr>
          <w:rFonts w:ascii="黑体" w:hAnsi="黑体" w:eastAsia="黑体" w:cs="黑体"/>
          <w:spacing w:val="31"/>
          <w:sz w:val="55"/>
          <w:szCs w:val="55"/>
        </w:rPr>
        <w:t>202</w:t>
      </w:r>
      <w:r>
        <w:rPr>
          <w:rFonts w:hint="eastAsia" w:ascii="黑体" w:hAnsi="黑体" w:eastAsia="黑体" w:cs="黑体"/>
          <w:spacing w:val="31"/>
          <w:sz w:val="55"/>
          <w:szCs w:val="55"/>
          <w:lang w:val="en-US" w:eastAsia="zh-CN"/>
        </w:rPr>
        <w:t>6</w:t>
      </w:r>
      <w:r>
        <w:rPr>
          <w:rFonts w:ascii="黑体" w:hAnsi="黑体" w:eastAsia="黑体" w:cs="黑体"/>
          <w:spacing w:val="-111"/>
          <w:sz w:val="55"/>
          <w:szCs w:val="55"/>
        </w:rPr>
        <w:t xml:space="preserve"> </w:t>
      </w:r>
      <w:r>
        <w:rPr>
          <w:rFonts w:ascii="黑体" w:hAnsi="黑体" w:eastAsia="黑体" w:cs="黑体"/>
          <w:spacing w:val="31"/>
          <w:sz w:val="55"/>
          <w:szCs w:val="55"/>
        </w:rPr>
        <w:t>年“领航杯”</w:t>
      </w:r>
    </w:p>
    <w:p w14:paraId="4BAAE753">
      <w:pPr>
        <w:spacing w:before="418" w:line="221" w:lineRule="auto"/>
        <w:jc w:val="center"/>
        <w:rPr>
          <w:rFonts w:hint="default" w:ascii="黑体" w:hAnsi="黑体" w:eastAsia="黑体" w:cs="黑体"/>
          <w:sz w:val="55"/>
          <w:szCs w:val="55"/>
          <w:lang w:val="en-US" w:eastAsia="zh-CN"/>
        </w:rPr>
      </w:pPr>
      <w:r>
        <w:rPr>
          <w:rFonts w:ascii="黑体" w:hAnsi="黑体" w:eastAsia="黑体" w:cs="黑体"/>
          <w:spacing w:val="8"/>
          <w:sz w:val="55"/>
          <w:szCs w:val="55"/>
        </w:rPr>
        <w:t>江苏省</w:t>
      </w:r>
      <w:r>
        <w:rPr>
          <w:rFonts w:hint="eastAsia" w:ascii="黑体" w:hAnsi="黑体" w:eastAsia="黑体" w:cs="黑体"/>
          <w:spacing w:val="8"/>
          <w:sz w:val="55"/>
          <w:szCs w:val="55"/>
          <w:lang w:val="en-US" w:eastAsia="zh-CN"/>
        </w:rPr>
        <w:t>中小学生人工智能素养大赛</w:t>
      </w:r>
    </w:p>
    <w:p w14:paraId="541E1B8F">
      <w:pPr>
        <w:pStyle w:val="2"/>
        <w:spacing w:line="269" w:lineRule="auto"/>
      </w:pPr>
    </w:p>
    <w:p w14:paraId="45B4123F">
      <w:pPr>
        <w:pStyle w:val="2"/>
        <w:spacing w:line="269" w:lineRule="auto"/>
      </w:pPr>
    </w:p>
    <w:p w14:paraId="1EB3C8E1">
      <w:pPr>
        <w:pStyle w:val="2"/>
        <w:spacing w:line="269" w:lineRule="auto"/>
      </w:pPr>
    </w:p>
    <w:p w14:paraId="60D14027">
      <w:pPr>
        <w:pStyle w:val="2"/>
        <w:spacing w:line="269" w:lineRule="auto"/>
      </w:pPr>
    </w:p>
    <w:p w14:paraId="24AAA238">
      <w:pPr>
        <w:pStyle w:val="2"/>
        <w:spacing w:line="269" w:lineRule="auto"/>
      </w:pPr>
    </w:p>
    <w:p w14:paraId="42F01E73">
      <w:pPr>
        <w:spacing w:before="153" w:line="934" w:lineRule="exact"/>
        <w:ind w:left="757"/>
        <w:rPr>
          <w:rFonts w:ascii="黑体" w:hAnsi="黑体" w:eastAsia="黑体" w:cs="黑体"/>
          <w:sz w:val="47"/>
          <w:szCs w:val="47"/>
        </w:rPr>
      </w:pPr>
      <w:r>
        <w:rPr>
          <w:rFonts w:ascii="黑体" w:hAnsi="黑体" w:eastAsia="黑体" w:cs="黑体"/>
          <w:spacing w:val="5"/>
          <w:position w:val="34"/>
          <w:sz w:val="47"/>
          <w:szCs w:val="47"/>
        </w:rPr>
        <w:t>智能机器人——A</w:t>
      </w:r>
      <w:r>
        <w:rPr>
          <w:rFonts w:ascii="黑体" w:hAnsi="黑体" w:eastAsia="黑体" w:cs="黑体"/>
          <w:spacing w:val="-74"/>
          <w:position w:val="34"/>
          <w:sz w:val="47"/>
          <w:szCs w:val="47"/>
        </w:rPr>
        <w:t xml:space="preserve"> </w:t>
      </w:r>
      <w:r>
        <w:rPr>
          <w:rFonts w:ascii="黑体" w:hAnsi="黑体" w:eastAsia="黑体" w:cs="黑体"/>
          <w:spacing w:val="5"/>
          <w:position w:val="34"/>
          <w:sz w:val="47"/>
          <w:szCs w:val="47"/>
        </w:rPr>
        <w:t>类：双足人形机器人</w:t>
      </w:r>
    </w:p>
    <w:p w14:paraId="5082CF24">
      <w:pPr>
        <w:spacing w:before="2" w:line="224" w:lineRule="auto"/>
        <w:ind w:left="2607"/>
        <w:rPr>
          <w:rFonts w:ascii="黑体" w:hAnsi="黑体" w:eastAsia="黑体" w:cs="黑体"/>
          <w:sz w:val="47"/>
          <w:szCs w:val="47"/>
        </w:rPr>
      </w:pPr>
      <w:r>
        <w:rPr>
          <w:rFonts w:ascii="黑体" w:hAnsi="黑体" w:eastAsia="黑体" w:cs="黑体"/>
          <w:spacing w:val="6"/>
          <w:sz w:val="47"/>
          <w:szCs w:val="47"/>
        </w:rPr>
        <w:t>或多足仿生类机器人</w:t>
      </w:r>
    </w:p>
    <w:p w14:paraId="4DFC5A47">
      <w:pPr>
        <w:pStyle w:val="2"/>
        <w:spacing w:line="273" w:lineRule="auto"/>
      </w:pPr>
    </w:p>
    <w:p w14:paraId="4E126445">
      <w:pPr>
        <w:pStyle w:val="2"/>
        <w:spacing w:line="274" w:lineRule="auto"/>
      </w:pPr>
    </w:p>
    <w:p w14:paraId="1946BF59">
      <w:pPr>
        <w:pStyle w:val="2"/>
        <w:spacing w:line="274" w:lineRule="auto"/>
      </w:pPr>
    </w:p>
    <w:p w14:paraId="2BD45F5A">
      <w:pPr>
        <w:pStyle w:val="2"/>
        <w:spacing w:line="274" w:lineRule="auto"/>
      </w:pPr>
    </w:p>
    <w:p w14:paraId="0432471F">
      <w:pPr>
        <w:spacing w:before="231" w:line="1402" w:lineRule="exact"/>
        <w:ind w:left="4401"/>
        <w:rPr>
          <w:rFonts w:ascii="黑体" w:hAnsi="黑体" w:eastAsia="黑体" w:cs="黑体"/>
          <w:sz w:val="71"/>
          <w:szCs w:val="71"/>
        </w:rPr>
      </w:pPr>
      <w:r>
        <w:rPr>
          <w:rFonts w:ascii="黑体" w:hAnsi="黑体" w:eastAsia="黑体" w:cs="黑体"/>
          <w:position w:val="50"/>
          <w:sz w:val="71"/>
          <w:szCs w:val="71"/>
        </w:rPr>
        <w:t>规</w:t>
      </w:r>
    </w:p>
    <w:p w14:paraId="049B1EA8">
      <w:pPr>
        <w:spacing w:line="224" w:lineRule="auto"/>
        <w:ind w:left="4404"/>
        <w:rPr>
          <w:rFonts w:ascii="黑体" w:hAnsi="黑体" w:eastAsia="黑体" w:cs="黑体"/>
          <w:sz w:val="71"/>
          <w:szCs w:val="71"/>
        </w:rPr>
      </w:pPr>
      <w:r>
        <w:rPr>
          <w:rFonts w:ascii="黑体" w:hAnsi="黑体" w:eastAsia="黑体" w:cs="黑体"/>
          <w:sz w:val="71"/>
          <w:szCs w:val="71"/>
        </w:rPr>
        <w:t>则</w:t>
      </w:r>
    </w:p>
    <w:p w14:paraId="054A760B">
      <w:pPr>
        <w:pStyle w:val="2"/>
        <w:spacing w:line="249" w:lineRule="auto"/>
      </w:pPr>
    </w:p>
    <w:p w14:paraId="09F29AC9">
      <w:pPr>
        <w:pStyle w:val="2"/>
        <w:spacing w:line="249" w:lineRule="auto"/>
      </w:pPr>
    </w:p>
    <w:p w14:paraId="4A7EC316">
      <w:pPr>
        <w:pStyle w:val="2"/>
        <w:spacing w:line="249" w:lineRule="auto"/>
      </w:pPr>
    </w:p>
    <w:p w14:paraId="177299B9">
      <w:pPr>
        <w:pStyle w:val="2"/>
        <w:spacing w:line="249" w:lineRule="auto"/>
      </w:pPr>
    </w:p>
    <w:p w14:paraId="521F9333">
      <w:pPr>
        <w:pStyle w:val="2"/>
        <w:spacing w:line="249" w:lineRule="auto"/>
      </w:pPr>
    </w:p>
    <w:p w14:paraId="77203F3C">
      <w:pPr>
        <w:pStyle w:val="2"/>
        <w:spacing w:line="250" w:lineRule="auto"/>
      </w:pPr>
    </w:p>
    <w:p w14:paraId="1B8BADB8">
      <w:pPr>
        <w:pStyle w:val="2"/>
        <w:spacing w:line="250" w:lineRule="auto"/>
      </w:pPr>
    </w:p>
    <w:p w14:paraId="792A4150">
      <w:pPr>
        <w:pStyle w:val="2"/>
        <w:spacing w:line="250" w:lineRule="auto"/>
      </w:pPr>
    </w:p>
    <w:p w14:paraId="0F47AF87">
      <w:pPr>
        <w:spacing w:before="140" w:line="854" w:lineRule="exact"/>
        <w:jc w:val="center"/>
        <w:rPr>
          <w:rFonts w:hint="default" w:ascii="黑体" w:hAnsi="黑体" w:eastAsia="黑体" w:cs="黑体"/>
          <w:sz w:val="43"/>
          <w:szCs w:val="43"/>
          <w:lang w:val="en-US" w:eastAsia="zh-CN"/>
        </w:rPr>
      </w:pPr>
      <w:r>
        <w:rPr>
          <w:rFonts w:ascii="黑体" w:hAnsi="黑体" w:eastAsia="黑体" w:cs="黑体"/>
          <w:spacing w:val="7"/>
          <w:position w:val="30"/>
          <w:sz w:val="43"/>
          <w:szCs w:val="43"/>
        </w:rPr>
        <w:t>江苏省</w:t>
      </w:r>
      <w:r>
        <w:rPr>
          <w:rFonts w:hint="eastAsia" w:ascii="黑体" w:hAnsi="黑体" w:eastAsia="黑体" w:cs="黑体"/>
          <w:spacing w:val="7"/>
          <w:position w:val="30"/>
          <w:sz w:val="43"/>
          <w:szCs w:val="43"/>
          <w:lang w:val="en-US" w:eastAsia="zh-CN"/>
        </w:rPr>
        <w:t>教育信息化与数据管理中心</w:t>
      </w:r>
    </w:p>
    <w:p w14:paraId="620CB1FC">
      <w:pPr>
        <w:spacing w:before="2" w:line="226" w:lineRule="auto"/>
        <w:ind w:left="3488"/>
        <w:rPr>
          <w:rFonts w:ascii="黑体" w:hAnsi="黑体" w:eastAsia="黑体" w:cs="黑体"/>
          <w:sz w:val="43"/>
          <w:szCs w:val="43"/>
        </w:rPr>
        <w:sectPr>
          <w:pgSz w:w="11910" w:h="16840"/>
          <w:pgMar w:top="1431" w:right="1196" w:bottom="0" w:left="1214" w:header="0" w:footer="0" w:gutter="0"/>
          <w:pgNumType w:fmt="decimal"/>
          <w:cols w:space="720" w:num="1"/>
        </w:sectPr>
      </w:pPr>
      <w:r>
        <w:rPr>
          <w:rFonts w:ascii="黑体" w:hAnsi="黑体" w:eastAsia="黑体" w:cs="黑体"/>
          <w:spacing w:val="-5"/>
          <w:sz w:val="43"/>
          <w:szCs w:val="43"/>
        </w:rPr>
        <w:t>202</w:t>
      </w:r>
      <w:r>
        <w:rPr>
          <w:rFonts w:hint="eastAsia" w:ascii="黑体" w:hAnsi="黑体" w:eastAsia="黑体" w:cs="黑体"/>
          <w:spacing w:val="-5"/>
          <w:sz w:val="43"/>
          <w:szCs w:val="43"/>
          <w:lang w:val="en-US" w:eastAsia="zh-CN"/>
        </w:rPr>
        <w:t>6</w:t>
      </w:r>
      <w:r>
        <w:rPr>
          <w:rFonts w:ascii="黑体" w:hAnsi="黑体" w:eastAsia="黑体" w:cs="黑体"/>
          <w:spacing w:val="-79"/>
          <w:sz w:val="43"/>
          <w:szCs w:val="43"/>
        </w:rPr>
        <w:t xml:space="preserve"> </w:t>
      </w:r>
      <w:r>
        <w:rPr>
          <w:rFonts w:ascii="黑体" w:hAnsi="黑体" w:eastAsia="黑体" w:cs="黑体"/>
          <w:spacing w:val="-5"/>
          <w:sz w:val="43"/>
          <w:szCs w:val="43"/>
        </w:rPr>
        <w:t>年</w:t>
      </w:r>
      <w:r>
        <w:rPr>
          <w:rFonts w:hint="eastAsia" w:ascii="黑体" w:hAnsi="黑体" w:eastAsia="黑体" w:cs="黑体"/>
          <w:spacing w:val="-5"/>
          <w:sz w:val="43"/>
          <w:szCs w:val="43"/>
          <w:lang w:val="en-US" w:eastAsia="zh-CN"/>
        </w:rPr>
        <w:t xml:space="preserve"> 4 </w:t>
      </w:r>
      <w:r>
        <w:rPr>
          <w:rFonts w:ascii="黑体" w:hAnsi="黑体" w:eastAsia="黑体" w:cs="黑体"/>
          <w:spacing w:val="-5"/>
          <w:sz w:val="43"/>
          <w:szCs w:val="43"/>
        </w:rPr>
        <w:t>月</w:t>
      </w:r>
    </w:p>
    <w:p w14:paraId="6E6014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机器人</w:t>
      </w:r>
    </w:p>
    <w:p w14:paraId="37BBF38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机器人运动按照类人型(双足)或仿生类(多足)进行，不得使用轮式或履带等其他方式进行行走运动，其他外观形态无特殊要求，如图所示。</w:t>
      </w:r>
    </w:p>
    <w:p w14:paraId="3AD02A2F">
      <w:pPr>
        <w:pStyle w:val="2"/>
        <w:spacing w:line="277" w:lineRule="auto"/>
      </w:pPr>
    </w:p>
    <w:p w14:paraId="4B2D6584">
      <w:pPr>
        <w:pStyle w:val="2"/>
        <w:spacing w:line="277" w:lineRule="auto"/>
      </w:pPr>
      <w:r>
        <w:drawing>
          <wp:anchor distT="0" distB="0" distL="0" distR="0" simplePos="0" relativeHeight="251659264" behindDoc="0" locked="0" layoutInCell="0" allowOverlap="1">
            <wp:simplePos x="0" y="0"/>
            <wp:positionH relativeFrom="page">
              <wp:posOffset>1135380</wp:posOffset>
            </wp:positionH>
            <wp:positionV relativeFrom="page">
              <wp:posOffset>2708275</wp:posOffset>
            </wp:positionV>
            <wp:extent cx="1804670" cy="3141345"/>
            <wp:effectExtent l="0" t="0" r="5080" b="1905"/>
            <wp:wrapNone/>
            <wp:docPr id="2" name="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04670" cy="3141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2306AFD">
      <w:pPr>
        <w:pStyle w:val="2"/>
        <w:spacing w:line="277" w:lineRule="auto"/>
      </w:pPr>
      <w:r>
        <w:rPr>
          <w:position w:val="-66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2332990</wp:posOffset>
            </wp:positionH>
            <wp:positionV relativeFrom="paragraph">
              <wp:posOffset>153035</wp:posOffset>
            </wp:positionV>
            <wp:extent cx="3245485" cy="2364740"/>
            <wp:effectExtent l="0" t="0" r="12065" b="16510"/>
            <wp:wrapSquare wrapText="bothSides"/>
            <wp:docPr id="4" name="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45485" cy="2364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B1F8338">
      <w:pPr>
        <w:pStyle w:val="2"/>
        <w:spacing w:line="277" w:lineRule="auto"/>
      </w:pPr>
    </w:p>
    <w:p w14:paraId="20E945AB">
      <w:pPr>
        <w:pStyle w:val="2"/>
        <w:spacing w:line="278" w:lineRule="auto"/>
      </w:pPr>
    </w:p>
    <w:p w14:paraId="65CDE05C">
      <w:pPr>
        <w:pStyle w:val="2"/>
        <w:spacing w:line="278" w:lineRule="auto"/>
      </w:pPr>
    </w:p>
    <w:p w14:paraId="319F2FE4">
      <w:pPr>
        <w:pStyle w:val="2"/>
        <w:spacing w:line="330" w:lineRule="auto"/>
      </w:pPr>
    </w:p>
    <w:p w14:paraId="023E5DCE">
      <w:pPr>
        <w:pStyle w:val="2"/>
        <w:spacing w:line="330" w:lineRule="auto"/>
      </w:pPr>
    </w:p>
    <w:p w14:paraId="27CE14BB">
      <w:pPr>
        <w:pStyle w:val="2"/>
        <w:spacing w:line="330" w:lineRule="auto"/>
      </w:pPr>
    </w:p>
    <w:p w14:paraId="67E5381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楷体" w:hAnsi="楷体" w:eastAsia="楷体" w:cs="楷体"/>
          <w:sz w:val="32"/>
          <w:szCs w:val="32"/>
          <w:lang w:eastAsia="zh-CN"/>
        </w:rPr>
      </w:pPr>
      <w:bookmarkStart w:id="0" w:name="_GoBack"/>
      <w:bookmarkEnd w:id="0"/>
    </w:p>
    <w:p w14:paraId="42A6F5E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楷体" w:hAnsi="楷体" w:eastAsia="楷体" w:cs="楷体"/>
          <w:sz w:val="32"/>
          <w:szCs w:val="32"/>
          <w:lang w:eastAsia="zh-CN"/>
        </w:rPr>
      </w:pPr>
    </w:p>
    <w:p w14:paraId="7C00AAA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楷体" w:hAnsi="楷体" w:eastAsia="楷体" w:cs="楷体"/>
          <w:sz w:val="32"/>
          <w:szCs w:val="32"/>
          <w:lang w:eastAsia="zh-CN"/>
        </w:rPr>
      </w:pPr>
    </w:p>
    <w:p w14:paraId="6EB1D8B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楷体" w:hAnsi="楷体" w:eastAsia="楷体" w:cs="楷体"/>
          <w:sz w:val="32"/>
          <w:szCs w:val="32"/>
          <w:lang w:eastAsia="zh-CN"/>
        </w:rPr>
      </w:pPr>
    </w:p>
    <w:p w14:paraId="3010517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楷体" w:hAnsi="楷体" w:eastAsia="楷体" w:cs="楷体"/>
          <w:sz w:val="32"/>
          <w:szCs w:val="32"/>
          <w:lang w:eastAsia="zh-CN"/>
        </w:rPr>
      </w:pPr>
    </w:p>
    <w:p w14:paraId="51D32A8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一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sz w:val="32"/>
          <w:szCs w:val="32"/>
        </w:rPr>
        <w:t>机器人硬件要求</w:t>
      </w:r>
    </w:p>
    <w:p w14:paraId="4812A6A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除使用图像传感器（摄像头）或其他视觉传感器外，机器人仅限使用一个可编程处理器。光感、灰度、颜色等传感器无数量及类型限制。</w:t>
      </w:r>
    </w:p>
    <w:p w14:paraId="24D8531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机器人必须使用锂电池供电，其电压不超过12V。</w:t>
      </w:r>
    </w:p>
    <w:p w14:paraId="576EEAD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机器人在启动区时长、宽和高分别不超过300mm、300mm和500mm,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完全离开出发区域（即机器人的垂直投影完全离开出发区）后其尺寸不再受限。</w:t>
      </w:r>
    </w:p>
    <w:p w14:paraId="7F6DB62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5EEAC8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机器人软件要求</w:t>
      </w:r>
    </w:p>
    <w:p w14:paraId="3C5E6BF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</w:pPr>
      <w:r>
        <w:rPr>
          <w:rFonts w:hint="eastAsia" w:ascii="仿宋" w:hAnsi="仿宋" w:eastAsia="仿宋" w:cs="仿宋"/>
          <w:sz w:val="32"/>
          <w:szCs w:val="32"/>
        </w:rPr>
        <w:t>机器人编程环境不限，所有动作程序均需参赛队员自行编写。</w:t>
      </w:r>
    </w:p>
    <w:p w14:paraId="2E8B068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二、主题简介</w:t>
      </w:r>
    </w:p>
    <w:p w14:paraId="531919E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物品分拣</w:t>
      </w:r>
      <w:r>
        <w:rPr>
          <w:rFonts w:hint="eastAsia" w:ascii="仿宋" w:hAnsi="仿宋" w:eastAsia="仿宋" w:cs="仿宋"/>
          <w:sz w:val="32"/>
          <w:szCs w:val="32"/>
        </w:rPr>
        <w:t xml:space="preserve"> ”任务是双足或多足机器人模拟搬运物品的一个过程。考察选手对机器人步态、多关节运动等方面的编程知识的掌握程度。</w:t>
      </w:r>
    </w:p>
    <w:p w14:paraId="25E4244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三、场地与模型</w:t>
      </w:r>
    </w:p>
    <w:p w14:paraId="1638F0F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一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sz w:val="32"/>
          <w:szCs w:val="32"/>
        </w:rPr>
        <w:t>场地构成</w:t>
      </w:r>
    </w:p>
    <w:p w14:paraId="49B5C6D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图纸</w:t>
      </w:r>
      <w:r>
        <w:rPr>
          <w:rFonts w:hint="eastAsia" w:ascii="仿宋" w:hAnsi="仿宋" w:eastAsia="仿宋" w:cs="仿宋"/>
          <w:sz w:val="32"/>
          <w:szCs w:val="32"/>
        </w:rPr>
        <w:t>尺寸大小约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3.2m</w:t>
      </w:r>
      <w:r>
        <w:rPr>
          <w:rFonts w:hint="eastAsia" w:ascii="仿宋" w:hAnsi="仿宋" w:eastAsia="仿宋" w:cs="仿宋"/>
          <w:sz w:val="32"/>
          <w:szCs w:val="32"/>
        </w:rPr>
        <w:t>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2.0</w:t>
      </w:r>
      <w:r>
        <w:rPr>
          <w:rFonts w:hint="eastAsia" w:ascii="仿宋" w:hAnsi="仿宋" w:eastAsia="仿宋" w:cs="仿宋"/>
          <w:sz w:val="32"/>
          <w:szCs w:val="32"/>
        </w:rPr>
        <w:t>m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挑战任务区围栏的高度约为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0.2m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图纸</w:t>
      </w:r>
      <w:r>
        <w:rPr>
          <w:rFonts w:hint="eastAsia" w:ascii="仿宋" w:hAnsi="仿宋" w:eastAsia="仿宋" w:cs="仿宋"/>
          <w:sz w:val="32"/>
          <w:szCs w:val="32"/>
        </w:rPr>
        <w:t>材质是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广告</w:t>
      </w:r>
      <w:r>
        <w:rPr>
          <w:rFonts w:hint="eastAsia" w:ascii="仿宋" w:hAnsi="仿宋" w:eastAsia="仿宋" w:cs="仿宋"/>
          <w:sz w:val="32"/>
          <w:szCs w:val="32"/>
        </w:rPr>
        <w:t>喷绘布。为便于说明，俯视图中场地各区域添加了颜色与文字，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如图1所示。</w:t>
      </w:r>
      <w:r>
        <w:rPr>
          <w:rFonts w:hint="eastAsia" w:ascii="仿宋" w:hAnsi="仿宋" w:eastAsia="仿宋" w:cs="仿宋"/>
          <w:sz w:val="32"/>
          <w:szCs w:val="32"/>
        </w:rPr>
        <w:t>实际场地图中各区域无色块填充与文字，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各组别场地尺寸及</w:t>
      </w:r>
      <w:r>
        <w:rPr>
          <w:rFonts w:hint="eastAsia" w:ascii="仿宋" w:hAnsi="仿宋" w:eastAsia="仿宋" w:cs="仿宋"/>
          <w:sz w:val="32"/>
          <w:szCs w:val="32"/>
        </w:rPr>
        <w:t>差异，如图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2、图</w:t>
      </w: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图4</w:t>
      </w:r>
      <w:r>
        <w:rPr>
          <w:rFonts w:hint="eastAsia" w:ascii="仿宋" w:hAnsi="仿宋" w:eastAsia="仿宋" w:cs="仿宋"/>
          <w:sz w:val="32"/>
          <w:szCs w:val="32"/>
        </w:rPr>
        <w:t>所示。</w:t>
      </w:r>
    </w:p>
    <w:p w14:paraId="2A72000D">
      <w:pPr>
        <w:bidi w:val="0"/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115435" cy="2592070"/>
            <wp:effectExtent l="0" t="0" r="18415" b="17780"/>
            <wp:docPr id="1" name="图片 1" descr="A示意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示意图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15435" cy="2592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EEA45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eastAsia="宋体"/>
          <w:lang w:eastAsia="zh-CN"/>
        </w:rPr>
      </w:pPr>
      <w:r>
        <w:rPr>
          <w:rFonts w:hint="eastAsia" w:ascii="楷体" w:hAnsi="楷体" w:eastAsia="楷体" w:cs="楷体"/>
          <w:sz w:val="28"/>
          <w:szCs w:val="28"/>
        </w:rPr>
        <w:t>图1 场地示意图</w:t>
      </w:r>
    </w:p>
    <w:p w14:paraId="1896D35C">
      <w:pPr>
        <w:bidi w:val="0"/>
        <w:jc w:val="center"/>
        <w:rPr>
          <w:rFonts w:hint="eastAsia"/>
          <w:lang w:eastAsia="zh-CN"/>
        </w:rPr>
      </w:pPr>
    </w:p>
    <w:p w14:paraId="3CDD90D5">
      <w:pPr>
        <w:bidi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400040" cy="3335020"/>
            <wp:effectExtent l="0" t="0" r="10160" b="17780"/>
            <wp:docPr id="8" name="图片 8" descr="规则用图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规则用图3"/>
                    <pic:cNvPicPr>
                      <a:picLocks noChangeAspect="1"/>
                    </pic:cNvPicPr>
                  </pic:nvPicPr>
                  <pic:blipFill>
                    <a:blip r:embed="rId10"/>
                    <a:srcRect l="22475" t="11144" r="21758" b="1456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33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A47E2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/>
          <w:lang w:eastAsia="zh-CN"/>
        </w:rPr>
      </w:pPr>
      <w:r>
        <w:rPr>
          <w:rFonts w:hint="eastAsia" w:ascii="楷体" w:hAnsi="楷体" w:eastAsia="楷体" w:cs="楷体"/>
          <w:sz w:val="28"/>
          <w:szCs w:val="28"/>
        </w:rPr>
        <w:t>图2 各组别场地框架示意图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（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小、初、高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）</w:t>
      </w:r>
    </w:p>
    <w:p w14:paraId="001884F9">
      <w:pPr>
        <w:bidi w:val="0"/>
        <w:jc w:val="center"/>
        <w:rPr>
          <w:rFonts w:hint="eastAsia"/>
          <w:lang w:eastAsia="zh-CN"/>
        </w:rPr>
      </w:pPr>
    </w:p>
    <w:p w14:paraId="1FB8BCC4">
      <w:pPr>
        <w:bidi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400040" cy="3699510"/>
            <wp:effectExtent l="0" t="0" r="10160" b="15240"/>
            <wp:docPr id="3" name="图片 3" descr="高中框架（带数据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高中框架（带数据）"/>
                    <pic:cNvPicPr>
                      <a:picLocks noChangeAspect="1"/>
                    </pic:cNvPicPr>
                  </pic:nvPicPr>
                  <pic:blipFill>
                    <a:blip r:embed="rId11"/>
                    <a:srcRect l="7888" t="2776" r="21942" b="229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69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E352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</w:rPr>
        <w:t>图3 场地尺寸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示意图</w:t>
      </w:r>
      <w:r>
        <w:rPr>
          <w:rFonts w:hint="eastAsia" w:ascii="楷体" w:hAnsi="楷体" w:eastAsia="楷体" w:cs="楷体"/>
          <w:sz w:val="28"/>
          <w:szCs w:val="28"/>
        </w:rPr>
        <w:t>（高中组）</w:t>
      </w:r>
    </w:p>
    <w:p w14:paraId="1A29FD4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center"/>
        <w:textAlignment w:val="baseline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drawing>
          <wp:inline distT="0" distB="0" distL="114300" distR="114300">
            <wp:extent cx="2633980" cy="5039995"/>
            <wp:effectExtent l="0" t="0" r="13970" b="8255"/>
            <wp:docPr id="6" name="图片 6" descr="各组别场地示意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各组别场地示意图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33980" cy="5039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BE77A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</w:rPr>
        <w:t>图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 w:cs="楷体"/>
          <w:sz w:val="28"/>
          <w:szCs w:val="28"/>
        </w:rPr>
        <w:t xml:space="preserve">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各组别场地示意图</w:t>
      </w:r>
    </w:p>
    <w:p w14:paraId="1D1BE84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赛场环境</w:t>
      </w:r>
    </w:p>
    <w:p w14:paraId="147AFD4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机器人比赛场地环境为低照度。由于一般赛场环境的不确定因素较多，例如：场地纸不平整、操作台上有裂缝、光照条件有变化等，参赛队在设计机器人时应  考虑各种应对措施。比赛场地尺寸的允许误差是±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0mm，参赛队设计机器人时必须充分考虑。</w:t>
      </w:r>
    </w:p>
    <w:p w14:paraId="38696158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任务道具</w:t>
      </w:r>
    </w:p>
    <w:p w14:paraId="44AF6E76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三棱锥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棱长约30mm，颜色为红色（参考色值C0 M100 Y100 K0）、绿色（参考色值C100 M0 Y100 K0）、蓝色（参考色值C100 M60 Y0 K0），材质为EVA。基本任务区有红绿两种颜色、挑战任务区有红绿蓝三种颜色。</w:t>
      </w:r>
    </w:p>
    <w:p w14:paraId="3D7BFA8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88FE12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drawing>
          <wp:inline distT="0" distB="0" distL="114300" distR="114300">
            <wp:extent cx="5840095" cy="2520315"/>
            <wp:effectExtent l="0" t="0" r="8255" b="13335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40095" cy="252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207A0C">
      <w:pPr>
        <w:spacing w:before="207" w:line="221" w:lineRule="auto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</w:rPr>
        <w:t>图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楷体"/>
          <w:sz w:val="28"/>
          <w:szCs w:val="28"/>
        </w:rPr>
        <w:t xml:space="preserve">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三棱锥</w:t>
      </w:r>
      <w:r>
        <w:rPr>
          <w:rFonts w:hint="eastAsia" w:ascii="楷体" w:hAnsi="楷体" w:eastAsia="楷体" w:cs="楷体"/>
          <w:sz w:val="28"/>
          <w:szCs w:val="28"/>
        </w:rPr>
        <w:t>示意图</w:t>
      </w:r>
    </w:p>
    <w:p w14:paraId="108B2E61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物品收纳区：物品收纳区为3个边长分别约为100mm、150mm、200mm同心正方形组成，正方形边线为黑色线宽约5mm，边长100mm的正方形用纯色填充，颜色参考值如三棱锥。</w:t>
      </w:r>
    </w:p>
    <w:p w14:paraId="2A827900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B2C4D0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drawing>
          <wp:inline distT="0" distB="0" distL="114300" distR="114300">
            <wp:extent cx="6086475" cy="1800225"/>
            <wp:effectExtent l="0" t="0" r="9525" b="9525"/>
            <wp:docPr id="10" name="图片 10" descr="物品收纳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物品收纳区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8647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08D720">
      <w:pPr>
        <w:spacing w:before="207" w:line="221" w:lineRule="auto"/>
        <w:jc w:val="center"/>
        <w:rPr>
          <w:rFonts w:hint="eastAsia" w:ascii="楷体" w:hAnsi="楷体" w:eastAsia="楷体" w:cs="楷体"/>
          <w:sz w:val="28"/>
          <w:szCs w:val="28"/>
        </w:rPr>
      </w:pPr>
    </w:p>
    <w:p w14:paraId="142A9FE9">
      <w:pPr>
        <w:spacing w:before="207" w:line="221" w:lineRule="auto"/>
        <w:jc w:val="center"/>
        <w:rPr>
          <w:rFonts w:hint="default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</w:rPr>
        <w:t>图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楷体"/>
          <w:sz w:val="28"/>
          <w:szCs w:val="28"/>
        </w:rPr>
        <w:t xml:space="preserve">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物品收纳区示意图</w:t>
      </w:r>
    </w:p>
    <w:p w14:paraId="688FE5EA">
      <w:pPr>
        <w:bidi w:val="0"/>
        <w:jc w:val="center"/>
        <w:rPr>
          <w:rFonts w:hint="eastAsia"/>
          <w:lang w:eastAsia="zh-CN"/>
        </w:rPr>
      </w:pPr>
    </w:p>
    <w:p w14:paraId="585E2EE5">
      <w:pPr>
        <w:bidi w:val="0"/>
        <w:jc w:val="center"/>
        <w:rPr>
          <w:rFonts w:hint="eastAsia"/>
          <w:lang w:eastAsia="zh-CN"/>
        </w:rPr>
      </w:pPr>
      <w:r>
        <w:drawing>
          <wp:inline distT="0" distB="0" distL="114300" distR="114300">
            <wp:extent cx="5678805" cy="3191510"/>
            <wp:effectExtent l="0" t="0" r="17145" b="889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78805" cy="319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BDBBEB">
      <w:pPr>
        <w:spacing w:before="207" w:line="221" w:lineRule="auto"/>
        <w:jc w:val="center"/>
        <w:rPr>
          <w:rFonts w:ascii="仿宋" w:hAnsi="仿宋" w:eastAsia="仿宋" w:cs="仿宋"/>
          <w:spacing w:val="-5"/>
          <w:sz w:val="28"/>
          <w:szCs w:val="28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图7 场地任务位置(高中组)示意图</w:t>
      </w:r>
    </w:p>
    <w:p w14:paraId="2A69E12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四、任务描述</w:t>
      </w:r>
    </w:p>
    <w:p w14:paraId="2B3F084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（一）小学组：</w:t>
      </w:r>
    </w:p>
    <w:p w14:paraId="13B50480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机器人在启动区通过非接触方式启动(启动前机器人垂直投影不得超出启动区黑线)，机器人做“挥臂”动作以示任务开始。机器人完全离开基地后，将基本任务区内的2个三棱锥（红色和绿色各1个）中的红色三棱锥分拣脱离场地表面后，送至基本任务区的任意一个物品收纳区内。完全进入挑战任务区后，分拣1个指定颜色三棱锥脱离场地表面后，送至对应颜色物品收纳区中，任务完成，同时停止计时。</w:t>
      </w:r>
    </w:p>
    <w:p w14:paraId="657D55B3">
      <w:pPr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初中组：</w:t>
      </w:r>
    </w:p>
    <w:p w14:paraId="5621361D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机器人在启动区通过非接触方式启动(启动前机器人垂直投影不得超出启动区黑线)，机器人做“挥臂”动作以示任务开始。机器人完全离开基地后，将基本任务区内的3个三棱锥（红色2个、绿色1个）中的红色三棱锥分拣脱离场地表面后，送至基本任务区的任意一个物品收纳区内。完全进入挑战任务区后，分拣2个指定颜色三棱锥脱离场地表面后，送至对应颜色物品收纳区中，任务完成，同时停止计时。</w:t>
      </w:r>
    </w:p>
    <w:p w14:paraId="2535021E">
      <w:pPr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高中组：</w:t>
      </w:r>
    </w:p>
    <w:p w14:paraId="0A76E4ED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机器人在启动区通过非接触方式启动(启动前机器人垂直投影不得超出启动区黑线)，机器人做“挥臂”动作以示任务开始。机器人完全离开基地后，将基本任务区内的4个三棱锥（红色2个、绿色2个）中的红色三棱锥分拣脱离场地表面后，送至基本任务区的任意一个物品收纳区内。完全进入挑战任务区后，分拣3个指定颜色三棱锥脱离场地表面后，送至对应颜色物品收纳区中，任务完成，同时停止计时。</w:t>
      </w:r>
    </w:p>
    <w:p w14:paraId="5F1B941F">
      <w:pPr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抽签：</w:t>
      </w:r>
    </w:p>
    <w:p w14:paraId="441D92EE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基本任务区的各色三棱锥位置，挑战任务区的三棱锥的颜色、指定物品收纳区的位置均在调试前抽签完成。挑战任务区三棱锥的位置将在调试后抽签完成。</w:t>
      </w:r>
    </w:p>
    <w:p w14:paraId="5434ABF4">
      <w:pPr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得分：</w:t>
      </w:r>
    </w:p>
    <w:p w14:paraId="4D57AA4F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各得分项计分详见文末竞赛计分表。</w:t>
      </w:r>
    </w:p>
    <w:p w14:paraId="0C5B9C2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五、比赛</w:t>
      </w:r>
    </w:p>
    <w:p w14:paraId="7F32600E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（一）赛制：</w:t>
      </w:r>
    </w:p>
    <w:p w14:paraId="23CBB27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比赛采用小循环赛制，每轮300秒。取单轮最高分作为最终成绩进行排序。如得分相同，则对应轮次用时少的队在前。</w:t>
      </w:r>
    </w:p>
    <w:p w14:paraId="587588F3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（二）赛程</w:t>
      </w:r>
    </w:p>
    <w:p w14:paraId="50676CE8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比赛分三个阶段，编程与调试阶段、机器人封存阶段、竞赛阶段。</w:t>
      </w:r>
    </w:p>
    <w:p w14:paraId="166BA11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1.编程与调试阶段：总时长90分钟，参赛选手自己编写程序并调试机器人。</w:t>
      </w:r>
    </w:p>
    <w:p w14:paraId="1CFECE8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2.机器人封存阶段：编程与调试结束后，参赛选手由裁判员协助在机器人醒目处张贴队伍编号后，上交机器人统一封存。</w:t>
      </w:r>
    </w:p>
    <w:p w14:paraId="1B2A11B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3.竞赛阶段：竞赛分两轮。参赛队确认准备好后举手示意，裁判员发出指令后，选手方可启动机器人。在裁判员发出指令前启动机器人将受到警告或犯规处罚。机器人一旦离开启动区，选手不能再触碰机器人。</w:t>
      </w:r>
    </w:p>
    <w:p w14:paraId="1D870408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（三）比赛结束</w:t>
      </w:r>
    </w:p>
    <w:p w14:paraId="4C0E83A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裁判员宣布本轮比赛结束后，参赛选手不得触碰机器人与得分物品。裁判员统计本轮得分，参赛队员确认成绩无误后，均须签字。</w:t>
      </w:r>
    </w:p>
    <w:p w14:paraId="73785012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（四）犯规与取消比赛资格</w:t>
      </w:r>
    </w:p>
    <w:p w14:paraId="144A2CB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1.经过催促仍未准时到达比赛区的参赛队将取消其比赛资格。</w:t>
      </w:r>
    </w:p>
    <w:p w14:paraId="714C295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2.参赛队员第一次误启动将受到裁判员警告，第二次误启动将按弃权处理。</w:t>
      </w:r>
    </w:p>
    <w:p w14:paraId="60DDFCA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3.如果由参赛队员或机器人造成任务模型损坏，不管有意还是无意，将警告一次。该场该任务不得分，即使该任务已完成。</w:t>
      </w:r>
    </w:p>
    <w:p w14:paraId="6B9A3D5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4.比赛中，参赛队员有意接触任务模型或机器人，该参赛</w:t>
      </w:r>
    </w:p>
    <w:p w14:paraId="4A0317E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队将被取消比赛资格。偶然的接触可以不当作犯规，除非这种接触直接影响到比赛的最终得分。</w:t>
      </w:r>
    </w:p>
    <w:p w14:paraId="13CF24C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5.参赛队员在未经裁判长允许的情况下，私自与教练员或家长联系，将被取消比赛资格。</w:t>
      </w:r>
    </w:p>
    <w:p w14:paraId="338D85CE">
      <w:pPr>
        <w:rPr>
          <w:rFonts w:ascii="黑体" w:hAnsi="黑体" w:eastAsia="黑体" w:cs="黑体"/>
          <w:spacing w:val="9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br w:type="page"/>
      </w:r>
    </w:p>
    <w:p w14:paraId="3423088A">
      <w:pPr>
        <w:spacing w:before="101" w:line="237" w:lineRule="auto"/>
        <w:ind w:left="3758" w:right="1249" w:hanging="216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 xml:space="preserve">A类：双足人形机器人或多足仿生类机器人 </w:t>
      </w:r>
      <w:r>
        <w:rPr>
          <w:rFonts w:ascii="黑体" w:hAnsi="黑体" w:eastAsia="黑体" w:cs="黑体"/>
          <w:spacing w:val="7"/>
          <w:sz w:val="31"/>
          <w:szCs w:val="31"/>
        </w:rPr>
        <w:t>竞赛记分表</w:t>
      </w:r>
    </w:p>
    <w:p w14:paraId="6ADC0FF3">
      <w:pPr>
        <w:pStyle w:val="2"/>
        <w:spacing w:line="365" w:lineRule="auto"/>
      </w:pPr>
    </w:p>
    <w:p w14:paraId="4E7D385C">
      <w:pPr>
        <w:spacing w:before="72" w:line="230" w:lineRule="auto"/>
        <w:ind w:left="409"/>
        <w:rPr>
          <w:rFonts w:ascii="仿宋" w:hAnsi="仿宋" w:eastAsia="仿宋" w:cs="仿宋"/>
          <w:sz w:val="22"/>
          <w:szCs w:val="22"/>
          <w:u w:val="single" w:color="auto"/>
        </w:rPr>
      </w:pPr>
      <w:r>
        <w:rPr>
          <w:rFonts w:ascii="仿宋" w:hAnsi="仿宋" w:eastAsia="仿宋" w:cs="仿宋"/>
          <w:spacing w:val="1"/>
          <w:sz w:val="22"/>
          <w:szCs w:val="22"/>
        </w:rPr>
        <w:t>组别：</w:t>
      </w:r>
      <w:r>
        <w:rPr>
          <w:rFonts w:ascii="仿宋" w:hAnsi="仿宋" w:eastAsia="仿宋" w:cs="仿宋"/>
          <w:spacing w:val="5"/>
          <w:sz w:val="22"/>
          <w:szCs w:val="22"/>
          <w:u w:val="single" w:color="auto"/>
        </w:rPr>
        <w:t xml:space="preserve">              </w:t>
      </w:r>
      <w:r>
        <w:rPr>
          <w:rFonts w:ascii="仿宋" w:hAnsi="仿宋" w:eastAsia="仿宋" w:cs="仿宋"/>
          <w:spacing w:val="-79"/>
          <w:sz w:val="22"/>
          <w:szCs w:val="22"/>
        </w:rPr>
        <w:t xml:space="preserve"> </w:t>
      </w:r>
      <w:r>
        <w:rPr>
          <w:rFonts w:ascii="仿宋" w:hAnsi="仿宋" w:eastAsia="仿宋" w:cs="仿宋"/>
          <w:spacing w:val="1"/>
          <w:sz w:val="22"/>
          <w:szCs w:val="22"/>
        </w:rPr>
        <w:t>参赛学校</w:t>
      </w:r>
      <w:r>
        <w:rPr>
          <w:rFonts w:ascii="仿宋" w:hAnsi="仿宋" w:eastAsia="仿宋" w:cs="仿宋"/>
          <w:spacing w:val="41"/>
          <w:sz w:val="22"/>
          <w:szCs w:val="22"/>
        </w:rPr>
        <w:t xml:space="preserve"> </w:t>
      </w:r>
      <w:r>
        <w:rPr>
          <w:rFonts w:ascii="仿宋" w:hAnsi="仿宋" w:eastAsia="仿宋" w:cs="仿宋"/>
          <w:spacing w:val="1"/>
          <w:sz w:val="22"/>
          <w:szCs w:val="22"/>
        </w:rPr>
        <w:t>：</w:t>
      </w:r>
      <w:r>
        <w:rPr>
          <w:rFonts w:ascii="仿宋" w:hAnsi="仿宋" w:eastAsia="仿宋" w:cs="仿宋"/>
          <w:spacing w:val="5"/>
          <w:sz w:val="22"/>
          <w:szCs w:val="22"/>
          <w:u w:val="single" w:color="auto"/>
        </w:rPr>
        <w:t xml:space="preserve">             </w:t>
      </w:r>
      <w:r>
        <w:rPr>
          <w:rFonts w:ascii="仿宋" w:hAnsi="仿宋" w:eastAsia="仿宋" w:cs="仿宋"/>
          <w:spacing w:val="-80"/>
          <w:sz w:val="22"/>
          <w:szCs w:val="22"/>
        </w:rPr>
        <w:t xml:space="preserve"> </w:t>
      </w:r>
      <w:r>
        <w:rPr>
          <w:rFonts w:ascii="仿宋" w:hAnsi="仿宋" w:eastAsia="仿宋" w:cs="仿宋"/>
          <w:spacing w:val="1"/>
          <w:sz w:val="22"/>
          <w:szCs w:val="22"/>
        </w:rPr>
        <w:t>队伍编号：</w:t>
      </w:r>
      <w:r>
        <w:rPr>
          <w:rFonts w:ascii="仿宋" w:hAnsi="仿宋" w:eastAsia="仿宋" w:cs="仿宋"/>
          <w:sz w:val="22"/>
          <w:szCs w:val="22"/>
          <w:u w:val="single" w:color="auto"/>
        </w:rPr>
        <w:t xml:space="preserve">              </w:t>
      </w:r>
    </w:p>
    <w:p w14:paraId="0E97E955">
      <w:pPr>
        <w:spacing w:before="72" w:line="230" w:lineRule="auto"/>
        <w:ind w:left="409"/>
        <w:rPr>
          <w:rFonts w:ascii="仿宋" w:hAnsi="仿宋" w:eastAsia="仿宋" w:cs="仿宋"/>
          <w:sz w:val="22"/>
          <w:szCs w:val="22"/>
          <w:u w:val="single" w:color="auto"/>
        </w:rPr>
      </w:pPr>
    </w:p>
    <w:tbl>
      <w:tblPr>
        <w:tblStyle w:val="7"/>
        <w:tblW w:w="875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3"/>
        <w:gridCol w:w="3395"/>
        <w:gridCol w:w="568"/>
        <w:gridCol w:w="1174"/>
        <w:gridCol w:w="869"/>
        <w:gridCol w:w="1179"/>
        <w:gridCol w:w="892"/>
      </w:tblGrid>
      <w:tr w14:paraId="373F44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673" w:type="dxa"/>
            <w:vAlign w:val="center"/>
          </w:tcPr>
          <w:p w14:paraId="5FE3C306">
            <w:pPr>
              <w:pStyle w:val="8"/>
              <w:bidi w:val="0"/>
              <w:jc w:val="center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评分 类别</w:t>
            </w:r>
          </w:p>
        </w:tc>
        <w:tc>
          <w:tcPr>
            <w:tcW w:w="3395" w:type="dxa"/>
            <w:vAlign w:val="center"/>
          </w:tcPr>
          <w:p w14:paraId="669A03B5">
            <w:pPr>
              <w:pStyle w:val="8"/>
              <w:bidi w:val="0"/>
              <w:jc w:val="center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评分说明</w:t>
            </w:r>
          </w:p>
        </w:tc>
        <w:tc>
          <w:tcPr>
            <w:tcW w:w="568" w:type="dxa"/>
            <w:vAlign w:val="center"/>
          </w:tcPr>
          <w:p w14:paraId="1F89FCFF">
            <w:pPr>
              <w:pStyle w:val="8"/>
              <w:bidi w:val="0"/>
              <w:jc w:val="center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计分</w:t>
            </w:r>
          </w:p>
        </w:tc>
        <w:tc>
          <w:tcPr>
            <w:tcW w:w="1174" w:type="dxa"/>
            <w:vAlign w:val="center"/>
          </w:tcPr>
          <w:p w14:paraId="18C6A634">
            <w:pPr>
              <w:pStyle w:val="8"/>
              <w:bidi w:val="0"/>
              <w:jc w:val="center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第一轮</w:t>
            </w:r>
          </w:p>
          <w:p w14:paraId="23950FD9">
            <w:pPr>
              <w:pStyle w:val="8"/>
              <w:bidi w:val="0"/>
              <w:jc w:val="center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完成</w:t>
            </w:r>
          </w:p>
        </w:tc>
        <w:tc>
          <w:tcPr>
            <w:tcW w:w="869" w:type="dxa"/>
            <w:vAlign w:val="center"/>
          </w:tcPr>
          <w:p w14:paraId="24903198">
            <w:pPr>
              <w:pStyle w:val="8"/>
              <w:bidi w:val="0"/>
              <w:jc w:val="center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第一轮 得分</w:t>
            </w:r>
          </w:p>
        </w:tc>
        <w:tc>
          <w:tcPr>
            <w:tcW w:w="1179" w:type="dxa"/>
            <w:vAlign w:val="center"/>
          </w:tcPr>
          <w:p w14:paraId="24EA2719">
            <w:pPr>
              <w:pStyle w:val="8"/>
              <w:bidi w:val="0"/>
              <w:jc w:val="center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 xml:space="preserve">第二轮 </w:t>
            </w:r>
          </w:p>
          <w:p w14:paraId="3A8161DF">
            <w:pPr>
              <w:pStyle w:val="8"/>
              <w:bidi w:val="0"/>
              <w:jc w:val="center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完成</w:t>
            </w:r>
          </w:p>
        </w:tc>
        <w:tc>
          <w:tcPr>
            <w:tcW w:w="892" w:type="dxa"/>
            <w:vAlign w:val="center"/>
          </w:tcPr>
          <w:p w14:paraId="380245DF">
            <w:pPr>
              <w:pStyle w:val="8"/>
              <w:bidi w:val="0"/>
              <w:jc w:val="center"/>
              <w:rPr>
                <w:rFonts w:hint="eastAsia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第二轮 得分</w:t>
            </w:r>
          </w:p>
        </w:tc>
      </w:tr>
      <w:tr w14:paraId="481597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673" w:type="dxa"/>
            <w:vMerge w:val="restart"/>
            <w:vAlign w:val="center"/>
          </w:tcPr>
          <w:p w14:paraId="6F703B56">
            <w:pPr>
              <w:pStyle w:val="8"/>
              <w:bidi w:val="0"/>
              <w:jc w:val="center"/>
            </w:pPr>
            <w:r>
              <w:t>启动</w:t>
            </w:r>
          </w:p>
        </w:tc>
        <w:tc>
          <w:tcPr>
            <w:tcW w:w="3395" w:type="dxa"/>
            <w:vAlign w:val="center"/>
          </w:tcPr>
          <w:p w14:paraId="0EA5D495">
            <w:pPr>
              <w:pStyle w:val="8"/>
              <w:bidi w:val="0"/>
              <w:jc w:val="center"/>
            </w:pPr>
            <w:r>
              <w:t>非接触方式启动， 且“挥臂”</w:t>
            </w:r>
          </w:p>
        </w:tc>
        <w:tc>
          <w:tcPr>
            <w:tcW w:w="568" w:type="dxa"/>
            <w:vAlign w:val="center"/>
          </w:tcPr>
          <w:p w14:paraId="5C1A1E39">
            <w:pPr>
              <w:pStyle w:val="8"/>
              <w:bidi w:val="0"/>
              <w:jc w:val="center"/>
            </w:pPr>
            <w:r>
              <w:t>10分</w:t>
            </w:r>
          </w:p>
        </w:tc>
        <w:tc>
          <w:tcPr>
            <w:tcW w:w="1174" w:type="dxa"/>
            <w:vAlign w:val="top"/>
          </w:tcPr>
          <w:p w14:paraId="05CBC60A">
            <w:pPr>
              <w:rPr>
                <w:rFonts w:ascii="Arial"/>
                <w:sz w:val="21"/>
              </w:rPr>
            </w:pPr>
          </w:p>
        </w:tc>
        <w:tc>
          <w:tcPr>
            <w:tcW w:w="869" w:type="dxa"/>
            <w:vAlign w:val="top"/>
          </w:tcPr>
          <w:p w14:paraId="30C15124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0837ADA8">
            <w:pPr>
              <w:rPr>
                <w:rFonts w:ascii="Arial"/>
                <w:sz w:val="21"/>
              </w:rPr>
            </w:pPr>
          </w:p>
        </w:tc>
        <w:tc>
          <w:tcPr>
            <w:tcW w:w="892" w:type="dxa"/>
            <w:vAlign w:val="top"/>
          </w:tcPr>
          <w:p w14:paraId="29A43727">
            <w:pPr>
              <w:rPr>
                <w:rFonts w:ascii="Arial"/>
                <w:sz w:val="21"/>
              </w:rPr>
            </w:pPr>
          </w:p>
        </w:tc>
      </w:tr>
      <w:tr w14:paraId="4A36F2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673" w:type="dxa"/>
            <w:vMerge w:val="continue"/>
            <w:vAlign w:val="center"/>
          </w:tcPr>
          <w:p w14:paraId="68ED08B6">
            <w:pPr>
              <w:pStyle w:val="8"/>
              <w:bidi w:val="0"/>
              <w:jc w:val="center"/>
            </w:pPr>
          </w:p>
        </w:tc>
        <w:tc>
          <w:tcPr>
            <w:tcW w:w="3395" w:type="dxa"/>
            <w:vAlign w:val="center"/>
          </w:tcPr>
          <w:p w14:paraId="6AD8AE98">
            <w:pPr>
              <w:pStyle w:val="8"/>
              <w:bidi w:val="0"/>
              <w:jc w:val="center"/>
            </w:pPr>
            <w:r>
              <w:t>垂直投影完全脱离启动区</w:t>
            </w:r>
          </w:p>
        </w:tc>
        <w:tc>
          <w:tcPr>
            <w:tcW w:w="568" w:type="dxa"/>
            <w:vAlign w:val="center"/>
          </w:tcPr>
          <w:p w14:paraId="321ED3AD">
            <w:pPr>
              <w:pStyle w:val="8"/>
              <w:bidi w:val="0"/>
              <w:jc w:val="center"/>
            </w:pPr>
            <w:r>
              <w:t>10分</w:t>
            </w:r>
          </w:p>
        </w:tc>
        <w:tc>
          <w:tcPr>
            <w:tcW w:w="1174" w:type="dxa"/>
            <w:vAlign w:val="top"/>
          </w:tcPr>
          <w:p w14:paraId="4293823A">
            <w:pPr>
              <w:rPr>
                <w:rFonts w:ascii="Arial"/>
                <w:sz w:val="21"/>
              </w:rPr>
            </w:pPr>
          </w:p>
        </w:tc>
        <w:tc>
          <w:tcPr>
            <w:tcW w:w="869" w:type="dxa"/>
            <w:vAlign w:val="top"/>
          </w:tcPr>
          <w:p w14:paraId="75802FB6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5EFA785F">
            <w:pPr>
              <w:rPr>
                <w:rFonts w:ascii="Arial"/>
                <w:sz w:val="21"/>
              </w:rPr>
            </w:pPr>
          </w:p>
        </w:tc>
        <w:tc>
          <w:tcPr>
            <w:tcW w:w="892" w:type="dxa"/>
            <w:vAlign w:val="top"/>
          </w:tcPr>
          <w:p w14:paraId="01B04DCE">
            <w:pPr>
              <w:rPr>
                <w:rFonts w:ascii="Arial"/>
                <w:sz w:val="21"/>
              </w:rPr>
            </w:pPr>
          </w:p>
        </w:tc>
      </w:tr>
      <w:tr w14:paraId="1C190F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673" w:type="dxa"/>
            <w:vMerge w:val="restart"/>
            <w:vAlign w:val="center"/>
          </w:tcPr>
          <w:p w14:paraId="07C6F9F9">
            <w:pPr>
              <w:pStyle w:val="8"/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基本</w:t>
            </w:r>
          </w:p>
          <w:p w14:paraId="71802EA1">
            <w:pPr>
              <w:pStyle w:val="8"/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任务</w:t>
            </w:r>
          </w:p>
          <w:p w14:paraId="4E7AABDA">
            <w:pPr>
              <w:pStyle w:val="8"/>
              <w:bidi w:val="0"/>
              <w:jc w:val="center"/>
            </w:pPr>
            <w:r>
              <w:t>搬运</w:t>
            </w:r>
          </w:p>
        </w:tc>
        <w:tc>
          <w:tcPr>
            <w:tcW w:w="3395" w:type="dxa"/>
            <w:vAlign w:val="center"/>
          </w:tcPr>
          <w:p w14:paraId="0216E40C">
            <w:pPr>
              <w:pStyle w:val="8"/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红色三棱锥完全在收纳区色块内</w:t>
            </w:r>
          </w:p>
        </w:tc>
        <w:tc>
          <w:tcPr>
            <w:tcW w:w="568" w:type="dxa"/>
            <w:vAlign w:val="center"/>
          </w:tcPr>
          <w:p w14:paraId="42E6E48B">
            <w:pPr>
              <w:pStyle w:val="8"/>
              <w:bidi w:val="0"/>
              <w:jc w:val="center"/>
            </w:pPr>
            <w:r>
              <w:rPr>
                <w:rFonts w:hint="eastAsia"/>
                <w:lang w:val="en-US" w:eastAsia="zh-CN"/>
              </w:rPr>
              <w:t>2</w:t>
            </w:r>
            <w:r>
              <w:t>0分</w:t>
            </w:r>
          </w:p>
        </w:tc>
        <w:tc>
          <w:tcPr>
            <w:tcW w:w="1174" w:type="dxa"/>
            <w:vAlign w:val="center"/>
          </w:tcPr>
          <w:p w14:paraId="52E35D84">
            <w:pPr>
              <w:jc w:val="right"/>
              <w:rPr>
                <w:rFonts w:ascii="Arial"/>
                <w:sz w:val="21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  <w:t>个</w:t>
            </w:r>
          </w:p>
        </w:tc>
        <w:tc>
          <w:tcPr>
            <w:tcW w:w="869" w:type="dxa"/>
            <w:vAlign w:val="top"/>
          </w:tcPr>
          <w:p w14:paraId="2FFF54A3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center"/>
          </w:tcPr>
          <w:p w14:paraId="419BD8E4">
            <w:pPr>
              <w:jc w:val="right"/>
              <w:rPr>
                <w:rFonts w:ascii="Arial"/>
                <w:sz w:val="21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  <w:t>个</w:t>
            </w:r>
          </w:p>
        </w:tc>
        <w:tc>
          <w:tcPr>
            <w:tcW w:w="892" w:type="dxa"/>
            <w:vAlign w:val="top"/>
          </w:tcPr>
          <w:p w14:paraId="73B42E39">
            <w:pPr>
              <w:rPr>
                <w:rFonts w:ascii="Arial"/>
                <w:sz w:val="21"/>
              </w:rPr>
            </w:pPr>
          </w:p>
        </w:tc>
      </w:tr>
      <w:tr w14:paraId="05AA20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673" w:type="dxa"/>
            <w:vMerge w:val="continue"/>
            <w:vAlign w:val="center"/>
          </w:tcPr>
          <w:p w14:paraId="6D2BC487">
            <w:pPr>
              <w:pStyle w:val="8"/>
              <w:bidi w:val="0"/>
              <w:jc w:val="center"/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32E7AEC7">
            <w:pPr>
              <w:pStyle w:val="8"/>
              <w:bidi w:val="0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红色三棱锥部分在收纳区色块内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6BAF8652">
            <w:pPr>
              <w:pStyle w:val="8"/>
              <w:bidi w:val="0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  <w:r>
              <w:t>分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499452A0">
            <w:pPr>
              <w:jc w:val="right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  <w:t>个</w:t>
            </w:r>
          </w:p>
        </w:tc>
        <w:tc>
          <w:tcPr>
            <w:tcW w:w="869" w:type="dxa"/>
            <w:shd w:val="clear" w:color="auto" w:fill="auto"/>
            <w:vAlign w:val="top"/>
          </w:tcPr>
          <w:p w14:paraId="781B7CE4">
            <w:pPr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0DC31A19">
            <w:pPr>
              <w:jc w:val="right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  <w:t>个</w:t>
            </w:r>
          </w:p>
        </w:tc>
        <w:tc>
          <w:tcPr>
            <w:tcW w:w="892" w:type="dxa"/>
            <w:shd w:val="clear" w:color="auto" w:fill="auto"/>
            <w:vAlign w:val="top"/>
          </w:tcPr>
          <w:p w14:paraId="60D145AE">
            <w:pPr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 w14:paraId="556310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673" w:type="dxa"/>
            <w:vAlign w:val="center"/>
          </w:tcPr>
          <w:p w14:paraId="18139826">
            <w:pPr>
              <w:pStyle w:val="8"/>
              <w:bidi w:val="0"/>
              <w:jc w:val="center"/>
            </w:pPr>
            <w:r>
              <w:t>移动</w:t>
            </w:r>
          </w:p>
        </w:tc>
        <w:tc>
          <w:tcPr>
            <w:tcW w:w="3395" w:type="dxa"/>
            <w:vAlign w:val="center"/>
          </w:tcPr>
          <w:p w14:paraId="7F35DDC8">
            <w:pPr>
              <w:pStyle w:val="8"/>
              <w:bidi w:val="0"/>
              <w:jc w:val="center"/>
            </w:pPr>
            <w:r>
              <w:t>机器人完全进入挑战任务区</w:t>
            </w:r>
          </w:p>
        </w:tc>
        <w:tc>
          <w:tcPr>
            <w:tcW w:w="568" w:type="dxa"/>
            <w:vAlign w:val="center"/>
          </w:tcPr>
          <w:p w14:paraId="1F537F54">
            <w:pPr>
              <w:pStyle w:val="8"/>
              <w:bidi w:val="0"/>
              <w:jc w:val="center"/>
            </w:pPr>
            <w:r>
              <w:t>10分</w:t>
            </w:r>
          </w:p>
        </w:tc>
        <w:tc>
          <w:tcPr>
            <w:tcW w:w="1174" w:type="dxa"/>
            <w:vAlign w:val="top"/>
          </w:tcPr>
          <w:p w14:paraId="58ED7029">
            <w:pPr>
              <w:rPr>
                <w:rFonts w:ascii="Arial"/>
                <w:sz w:val="21"/>
              </w:rPr>
            </w:pPr>
          </w:p>
        </w:tc>
        <w:tc>
          <w:tcPr>
            <w:tcW w:w="869" w:type="dxa"/>
            <w:vAlign w:val="top"/>
          </w:tcPr>
          <w:p w14:paraId="0B04041B">
            <w:pPr>
              <w:rPr>
                <w:rFonts w:ascii="Arial"/>
                <w:sz w:val="21"/>
              </w:rPr>
            </w:pPr>
          </w:p>
        </w:tc>
        <w:tc>
          <w:tcPr>
            <w:tcW w:w="1179" w:type="dxa"/>
            <w:vAlign w:val="top"/>
          </w:tcPr>
          <w:p w14:paraId="5DF1172D">
            <w:pPr>
              <w:rPr>
                <w:rFonts w:ascii="Arial"/>
                <w:sz w:val="21"/>
              </w:rPr>
            </w:pPr>
          </w:p>
        </w:tc>
        <w:tc>
          <w:tcPr>
            <w:tcW w:w="892" w:type="dxa"/>
            <w:vAlign w:val="top"/>
          </w:tcPr>
          <w:p w14:paraId="0DC1A305">
            <w:pPr>
              <w:rPr>
                <w:rFonts w:ascii="Arial"/>
                <w:sz w:val="21"/>
              </w:rPr>
            </w:pPr>
          </w:p>
        </w:tc>
      </w:tr>
      <w:tr w14:paraId="7182C1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673" w:type="dxa"/>
            <w:vMerge w:val="restart"/>
            <w:vAlign w:val="center"/>
          </w:tcPr>
          <w:p w14:paraId="0DD01C56">
            <w:pPr>
              <w:pStyle w:val="8"/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挑战</w:t>
            </w:r>
          </w:p>
          <w:p w14:paraId="0DE9CF5F">
            <w:pPr>
              <w:pStyle w:val="8"/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任务</w:t>
            </w:r>
          </w:p>
          <w:p w14:paraId="19D8D487">
            <w:pPr>
              <w:pStyle w:val="8"/>
              <w:bidi w:val="0"/>
              <w:jc w:val="center"/>
              <w:rPr>
                <w:rFonts w:hint="eastAsia"/>
                <w:lang w:eastAsia="zh-CN"/>
              </w:rPr>
            </w:pPr>
            <w:r>
              <w:t>搬运</w:t>
            </w:r>
          </w:p>
        </w:tc>
        <w:tc>
          <w:tcPr>
            <w:tcW w:w="3395" w:type="dxa"/>
            <w:vAlign w:val="center"/>
          </w:tcPr>
          <w:p w14:paraId="0E46B707">
            <w:pPr>
              <w:pStyle w:val="8"/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三棱锥完全在对应收纳区色块内</w:t>
            </w:r>
          </w:p>
        </w:tc>
        <w:tc>
          <w:tcPr>
            <w:tcW w:w="568" w:type="dxa"/>
            <w:vAlign w:val="center"/>
          </w:tcPr>
          <w:p w14:paraId="401B1637">
            <w:pPr>
              <w:pStyle w:val="8"/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20分</w:t>
            </w:r>
          </w:p>
        </w:tc>
        <w:tc>
          <w:tcPr>
            <w:tcW w:w="1174" w:type="dxa"/>
            <w:vAlign w:val="center"/>
          </w:tcPr>
          <w:p w14:paraId="561010FF">
            <w:pPr>
              <w:pStyle w:val="8"/>
              <w:bidi w:val="0"/>
              <w:jc w:val="right"/>
            </w:pPr>
            <w:r>
              <w:t>个</w:t>
            </w:r>
          </w:p>
        </w:tc>
        <w:tc>
          <w:tcPr>
            <w:tcW w:w="869" w:type="dxa"/>
            <w:vAlign w:val="center"/>
          </w:tcPr>
          <w:p w14:paraId="125BF2F9">
            <w:pPr>
              <w:pStyle w:val="8"/>
              <w:bidi w:val="0"/>
              <w:jc w:val="right"/>
            </w:pPr>
          </w:p>
        </w:tc>
        <w:tc>
          <w:tcPr>
            <w:tcW w:w="1179" w:type="dxa"/>
            <w:vAlign w:val="center"/>
          </w:tcPr>
          <w:p w14:paraId="1386B187">
            <w:pPr>
              <w:pStyle w:val="8"/>
              <w:bidi w:val="0"/>
              <w:jc w:val="right"/>
            </w:pPr>
            <w:r>
              <w:t>个</w:t>
            </w:r>
          </w:p>
        </w:tc>
        <w:tc>
          <w:tcPr>
            <w:tcW w:w="892" w:type="dxa"/>
            <w:vAlign w:val="top"/>
          </w:tcPr>
          <w:p w14:paraId="471E7EC9">
            <w:pPr>
              <w:pStyle w:val="8"/>
              <w:bidi w:val="0"/>
              <w:jc w:val="center"/>
            </w:pPr>
          </w:p>
        </w:tc>
      </w:tr>
      <w:tr w14:paraId="3A4084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673" w:type="dxa"/>
            <w:vMerge w:val="continue"/>
            <w:vAlign w:val="center"/>
          </w:tcPr>
          <w:p w14:paraId="2928525F">
            <w:pPr>
              <w:pStyle w:val="8"/>
              <w:bidi w:val="0"/>
              <w:jc w:val="center"/>
            </w:pPr>
          </w:p>
        </w:tc>
        <w:tc>
          <w:tcPr>
            <w:tcW w:w="3395" w:type="dxa"/>
            <w:shd w:val="clear" w:color="auto" w:fill="auto"/>
            <w:vAlign w:val="center"/>
          </w:tcPr>
          <w:p w14:paraId="2732438B">
            <w:pPr>
              <w:pStyle w:val="8"/>
              <w:bidi w:val="0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三棱锥完全在对应收纳区色块内</w:t>
            </w:r>
          </w:p>
        </w:tc>
        <w:tc>
          <w:tcPr>
            <w:tcW w:w="568" w:type="dxa"/>
            <w:shd w:val="clear" w:color="auto" w:fill="auto"/>
            <w:vAlign w:val="center"/>
          </w:tcPr>
          <w:p w14:paraId="0EB84F32">
            <w:pPr>
              <w:pStyle w:val="8"/>
              <w:bidi w:val="0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10分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484893FE">
            <w:pPr>
              <w:pStyle w:val="8"/>
              <w:bidi w:val="0"/>
              <w:jc w:val="right"/>
              <w:rPr>
                <w:rFonts w:ascii="仿宋" w:hAnsi="仿宋" w:eastAsia="仿宋" w:cs="仿宋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  <w:r>
              <w:t>个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25665C3F">
            <w:pPr>
              <w:pStyle w:val="8"/>
              <w:bidi w:val="0"/>
              <w:jc w:val="right"/>
              <w:rPr>
                <w:rFonts w:ascii="仿宋" w:hAnsi="仿宋" w:eastAsia="仿宋" w:cs="仿宋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3682FA3B">
            <w:pPr>
              <w:pStyle w:val="8"/>
              <w:bidi w:val="0"/>
              <w:jc w:val="right"/>
              <w:rPr>
                <w:rFonts w:ascii="仿宋" w:hAnsi="仿宋" w:eastAsia="仿宋" w:cs="仿宋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  <w:r>
              <w:t>个</w:t>
            </w:r>
          </w:p>
        </w:tc>
        <w:tc>
          <w:tcPr>
            <w:tcW w:w="892" w:type="dxa"/>
            <w:shd w:val="clear" w:color="auto" w:fill="auto"/>
            <w:vAlign w:val="top"/>
          </w:tcPr>
          <w:p w14:paraId="58418658">
            <w:pPr>
              <w:pStyle w:val="8"/>
              <w:bidi w:val="0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</w:p>
        </w:tc>
      </w:tr>
      <w:tr w14:paraId="7E372F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4636" w:type="dxa"/>
            <w:gridSpan w:val="3"/>
            <w:vAlign w:val="center"/>
          </w:tcPr>
          <w:p w14:paraId="2EF284B8">
            <w:pPr>
              <w:pStyle w:val="8"/>
              <w:bidi w:val="0"/>
              <w:jc w:val="center"/>
            </w:pPr>
            <w:r>
              <w:t>单轮得分</w:t>
            </w:r>
          </w:p>
        </w:tc>
        <w:tc>
          <w:tcPr>
            <w:tcW w:w="2043" w:type="dxa"/>
            <w:gridSpan w:val="2"/>
            <w:vAlign w:val="center"/>
          </w:tcPr>
          <w:p w14:paraId="0BE887D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071" w:type="dxa"/>
            <w:gridSpan w:val="2"/>
            <w:vAlign w:val="center"/>
          </w:tcPr>
          <w:p w14:paraId="188D8982">
            <w:pPr>
              <w:jc w:val="center"/>
              <w:rPr>
                <w:rFonts w:ascii="Arial"/>
                <w:sz w:val="21"/>
              </w:rPr>
            </w:pPr>
          </w:p>
        </w:tc>
      </w:tr>
      <w:tr w14:paraId="7C29DA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4636" w:type="dxa"/>
            <w:gridSpan w:val="3"/>
            <w:vAlign w:val="center"/>
          </w:tcPr>
          <w:p w14:paraId="345A320E">
            <w:pPr>
              <w:pStyle w:val="8"/>
              <w:bidi w:val="0"/>
              <w:jc w:val="center"/>
            </w:pPr>
            <w:r>
              <w:t>单轮用时</w:t>
            </w:r>
          </w:p>
        </w:tc>
        <w:tc>
          <w:tcPr>
            <w:tcW w:w="2043" w:type="dxa"/>
            <w:gridSpan w:val="2"/>
            <w:vAlign w:val="center"/>
          </w:tcPr>
          <w:p w14:paraId="00937361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071" w:type="dxa"/>
            <w:gridSpan w:val="2"/>
            <w:vAlign w:val="center"/>
          </w:tcPr>
          <w:p w14:paraId="1C042DDD">
            <w:pPr>
              <w:jc w:val="center"/>
              <w:rPr>
                <w:rFonts w:ascii="Arial"/>
                <w:sz w:val="21"/>
              </w:rPr>
            </w:pPr>
          </w:p>
        </w:tc>
      </w:tr>
      <w:tr w14:paraId="03A24D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4636" w:type="dxa"/>
            <w:gridSpan w:val="3"/>
            <w:vAlign w:val="center"/>
          </w:tcPr>
          <w:p w14:paraId="6FE28294">
            <w:pPr>
              <w:pStyle w:val="8"/>
              <w:bidi w:val="0"/>
              <w:jc w:val="center"/>
            </w:pPr>
            <w:r>
              <w:rPr>
                <w:rFonts w:hint="eastAsia"/>
                <w:lang w:val="en-US" w:eastAsia="zh-CN"/>
              </w:rPr>
              <w:t>单轮最高</w:t>
            </w:r>
            <w:r>
              <w:t>得分</w:t>
            </w:r>
          </w:p>
        </w:tc>
        <w:tc>
          <w:tcPr>
            <w:tcW w:w="4114" w:type="dxa"/>
            <w:gridSpan w:val="4"/>
            <w:vAlign w:val="center"/>
          </w:tcPr>
          <w:p w14:paraId="0C6E6D3B">
            <w:pPr>
              <w:jc w:val="center"/>
              <w:rPr>
                <w:rFonts w:ascii="Arial"/>
                <w:sz w:val="21"/>
              </w:rPr>
            </w:pPr>
          </w:p>
        </w:tc>
      </w:tr>
      <w:tr w14:paraId="6FC922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4636" w:type="dxa"/>
            <w:gridSpan w:val="3"/>
            <w:vAlign w:val="center"/>
          </w:tcPr>
          <w:p w14:paraId="4426F821">
            <w:pPr>
              <w:pStyle w:val="8"/>
              <w:bidi w:val="0"/>
              <w:jc w:val="center"/>
            </w:pPr>
            <w:r>
              <w:rPr>
                <w:rFonts w:hint="eastAsia"/>
                <w:lang w:val="en-US" w:eastAsia="zh-CN"/>
              </w:rPr>
              <w:t>单轮最高得分</w:t>
            </w:r>
            <w:r>
              <w:t>用时</w:t>
            </w:r>
          </w:p>
        </w:tc>
        <w:tc>
          <w:tcPr>
            <w:tcW w:w="4114" w:type="dxa"/>
            <w:gridSpan w:val="4"/>
            <w:vAlign w:val="center"/>
          </w:tcPr>
          <w:p w14:paraId="220A5F32">
            <w:pPr>
              <w:jc w:val="center"/>
              <w:rPr>
                <w:rFonts w:ascii="Arial"/>
                <w:sz w:val="21"/>
              </w:rPr>
            </w:pPr>
          </w:p>
        </w:tc>
      </w:tr>
    </w:tbl>
    <w:p w14:paraId="32C59E98">
      <w:pPr>
        <w:spacing w:before="71" w:line="232" w:lineRule="auto"/>
        <w:ind w:left="412"/>
        <w:rPr>
          <w:rFonts w:ascii="仿宋" w:hAnsi="仿宋" w:eastAsia="仿宋" w:cs="仿宋"/>
          <w:spacing w:val="14"/>
          <w:sz w:val="22"/>
          <w:szCs w:val="22"/>
        </w:rPr>
      </w:pPr>
    </w:p>
    <w:p w14:paraId="3E2B8357">
      <w:pPr>
        <w:spacing w:before="71" w:line="232" w:lineRule="auto"/>
        <w:ind w:left="412"/>
        <w:rPr>
          <w:rFonts w:ascii="仿宋" w:hAnsi="仿宋" w:eastAsia="仿宋" w:cs="仿宋"/>
          <w:spacing w:val="14"/>
          <w:sz w:val="22"/>
          <w:szCs w:val="22"/>
        </w:rPr>
      </w:pPr>
    </w:p>
    <w:p w14:paraId="74336FDF">
      <w:pPr>
        <w:spacing w:before="71" w:line="232" w:lineRule="auto"/>
        <w:ind w:left="412"/>
        <w:rPr>
          <w:rFonts w:ascii="仿宋" w:hAnsi="仿宋" w:eastAsia="仿宋" w:cs="仿宋"/>
          <w:sz w:val="22"/>
          <w:szCs w:val="22"/>
        </w:rPr>
      </w:pPr>
      <w:r>
        <w:rPr>
          <w:rFonts w:ascii="仿宋" w:hAnsi="仿宋" w:eastAsia="仿宋" w:cs="仿宋"/>
          <w:spacing w:val="14"/>
          <w:sz w:val="22"/>
          <w:szCs w:val="22"/>
        </w:rPr>
        <w:t>参赛队员签字：</w:t>
      </w:r>
      <w:r>
        <w:rPr>
          <w:rFonts w:ascii="仿宋" w:hAnsi="仿宋" w:eastAsia="仿宋" w:cs="仿宋"/>
          <w:spacing w:val="-79"/>
          <w:sz w:val="22"/>
          <w:szCs w:val="22"/>
        </w:rPr>
        <w:t xml:space="preserve"> </w:t>
      </w:r>
      <w:r>
        <w:rPr>
          <w:rFonts w:ascii="仿宋" w:hAnsi="仿宋" w:eastAsia="仿宋" w:cs="仿宋"/>
          <w:sz w:val="22"/>
          <w:szCs w:val="22"/>
          <w:u w:val="single" w:color="auto"/>
        </w:rPr>
        <w:t xml:space="preserve">                                                             </w:t>
      </w:r>
    </w:p>
    <w:p w14:paraId="37E3A356">
      <w:pPr>
        <w:pStyle w:val="2"/>
        <w:spacing w:line="377" w:lineRule="auto"/>
      </w:pPr>
    </w:p>
    <w:p w14:paraId="5E3C3F7E">
      <w:pPr>
        <w:spacing w:before="72" w:line="232" w:lineRule="auto"/>
        <w:ind w:left="412"/>
        <w:rPr>
          <w:rFonts w:ascii="仿宋" w:hAnsi="仿宋" w:eastAsia="仿宋" w:cs="仿宋"/>
          <w:sz w:val="22"/>
          <w:szCs w:val="22"/>
        </w:rPr>
      </w:pPr>
      <w:r>
        <w:rPr>
          <w:rFonts w:ascii="仿宋" w:hAnsi="仿宋" w:eastAsia="仿宋" w:cs="仿宋"/>
          <w:spacing w:val="11"/>
          <w:sz w:val="22"/>
          <w:szCs w:val="22"/>
        </w:rPr>
        <w:t>裁判员签字：</w:t>
      </w:r>
      <w:r>
        <w:rPr>
          <w:rFonts w:ascii="仿宋" w:hAnsi="仿宋" w:eastAsia="仿宋" w:cs="仿宋"/>
          <w:spacing w:val="-76"/>
          <w:sz w:val="22"/>
          <w:szCs w:val="22"/>
        </w:rPr>
        <w:t xml:space="preserve"> </w:t>
      </w:r>
      <w:r>
        <w:rPr>
          <w:rFonts w:ascii="仿宋" w:hAnsi="仿宋" w:eastAsia="仿宋" w:cs="仿宋"/>
          <w:sz w:val="22"/>
          <w:szCs w:val="22"/>
          <w:u w:val="single" w:color="auto"/>
        </w:rPr>
        <w:t xml:space="preserve">                                                               </w:t>
      </w:r>
    </w:p>
    <w:p w14:paraId="6C04F2F2">
      <w:pPr>
        <w:pStyle w:val="2"/>
        <w:spacing w:line="369" w:lineRule="auto"/>
      </w:pPr>
    </w:p>
    <w:p w14:paraId="68C822AD">
      <w:pPr>
        <w:spacing w:before="72" w:line="230" w:lineRule="auto"/>
        <w:ind w:left="409"/>
        <w:rPr>
          <w:rFonts w:ascii="仿宋" w:hAnsi="仿宋" w:eastAsia="仿宋" w:cs="仿宋"/>
          <w:sz w:val="22"/>
          <w:szCs w:val="22"/>
        </w:rPr>
      </w:pPr>
      <w:r>
        <w:rPr>
          <w:rFonts w:ascii="仿宋" w:hAnsi="仿宋" w:eastAsia="仿宋" w:cs="仿宋"/>
          <w:spacing w:val="18"/>
          <w:sz w:val="22"/>
          <w:szCs w:val="22"/>
        </w:rPr>
        <w:t>取消参赛资格原因：</w:t>
      </w:r>
      <w:r>
        <w:rPr>
          <w:rFonts w:ascii="仿宋" w:hAnsi="仿宋" w:eastAsia="仿宋" w:cs="仿宋"/>
          <w:spacing w:val="-73"/>
          <w:sz w:val="22"/>
          <w:szCs w:val="22"/>
        </w:rPr>
        <w:t xml:space="preserve"> </w:t>
      </w:r>
      <w:r>
        <w:rPr>
          <w:rFonts w:ascii="仿宋" w:hAnsi="仿宋" w:eastAsia="仿宋" w:cs="仿宋"/>
          <w:sz w:val="22"/>
          <w:szCs w:val="22"/>
          <w:u w:val="single" w:color="auto"/>
        </w:rPr>
        <w:t xml:space="preserve">                                                        </w:t>
      </w:r>
    </w:p>
    <w:sectPr>
      <w:footerReference r:id="rId5" w:type="default"/>
      <w:pgSz w:w="11906" w:h="16839"/>
      <w:pgMar w:top="1701" w:right="1474" w:bottom="1701" w:left="1474" w:header="0" w:footer="959" w:gutter="0"/>
      <w:pgNumType w:fmt="decimal"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D1C9CA">
    <w:pPr>
      <w:pStyle w:val="2"/>
      <w:spacing w:line="184" w:lineRule="auto"/>
      <w:ind w:left="4342"/>
      <w:rPr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6" name="文本框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1F0FA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uMeuo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m4x66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21F0FA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pacing w:val="-7"/>
        <w:sz w:val="18"/>
        <w:szCs w:val="1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13298F"/>
    <w:multiLevelType w:val="singleLevel"/>
    <w:tmpl w:val="6C13298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A90F3A8"/>
    <w:multiLevelType w:val="singleLevel"/>
    <w:tmpl w:val="7A90F3A8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ZDAwZjhjOWY3NGQ1NzYzOWVkNDFjNWZlOWVkODY5MDEifQ=="/>
  </w:docVars>
  <w:rsids>
    <w:rsidRoot w:val="00000000"/>
    <w:rsid w:val="02007C58"/>
    <w:rsid w:val="034344CA"/>
    <w:rsid w:val="0413712C"/>
    <w:rsid w:val="077D320E"/>
    <w:rsid w:val="07F76E9E"/>
    <w:rsid w:val="08AD0C06"/>
    <w:rsid w:val="0B124037"/>
    <w:rsid w:val="0C722F9F"/>
    <w:rsid w:val="0D03448E"/>
    <w:rsid w:val="0ED6320F"/>
    <w:rsid w:val="0FFC7FA9"/>
    <w:rsid w:val="112B1FBD"/>
    <w:rsid w:val="16B82C29"/>
    <w:rsid w:val="189E6AE8"/>
    <w:rsid w:val="19D03091"/>
    <w:rsid w:val="1B8B1BBC"/>
    <w:rsid w:val="1D56663F"/>
    <w:rsid w:val="1DB16262"/>
    <w:rsid w:val="1DC66E25"/>
    <w:rsid w:val="2173536F"/>
    <w:rsid w:val="21D2503A"/>
    <w:rsid w:val="2530657B"/>
    <w:rsid w:val="269674DE"/>
    <w:rsid w:val="2DEA27A8"/>
    <w:rsid w:val="35D51087"/>
    <w:rsid w:val="393118E7"/>
    <w:rsid w:val="40D01062"/>
    <w:rsid w:val="41280D40"/>
    <w:rsid w:val="423C3999"/>
    <w:rsid w:val="46F012F9"/>
    <w:rsid w:val="47F170D7"/>
    <w:rsid w:val="4BF16A43"/>
    <w:rsid w:val="4FDA265B"/>
    <w:rsid w:val="609B3942"/>
    <w:rsid w:val="61FB6C10"/>
    <w:rsid w:val="62691DC3"/>
    <w:rsid w:val="633D77A9"/>
    <w:rsid w:val="64DC1C42"/>
    <w:rsid w:val="64E533D4"/>
    <w:rsid w:val="65DD432F"/>
    <w:rsid w:val="662D7B52"/>
    <w:rsid w:val="670B575F"/>
    <w:rsid w:val="67291857"/>
    <w:rsid w:val="68F34EE6"/>
    <w:rsid w:val="6A8369BE"/>
    <w:rsid w:val="6D1437C7"/>
    <w:rsid w:val="6DF33C0B"/>
    <w:rsid w:val="741134A9"/>
    <w:rsid w:val="77B73F59"/>
    <w:rsid w:val="7A203D61"/>
    <w:rsid w:val="7B606A67"/>
    <w:rsid w:val="7F9622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autoRedefine/>
    <w:semiHidden/>
    <w:qFormat/>
    <w:uiPriority w:val="0"/>
    <w:rPr>
      <w:rFonts w:ascii="仿宋" w:hAnsi="仿宋" w:eastAsia="仿宋" w:cs="仿宋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9.png"/><Relationship Id="rId14" Type="http://schemas.openxmlformats.org/officeDocument/2006/relationships/image" Target="media/image8.jpeg"/><Relationship Id="rId13" Type="http://schemas.openxmlformats.org/officeDocument/2006/relationships/image" Target="media/image7.pn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2352</Words>
  <Characters>2453</Characters>
  <TotalTime>69</TotalTime>
  <ScaleCrop>false</ScaleCrop>
  <LinksUpToDate>false</LinksUpToDate>
  <CharactersWithSpaces>2710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2023-10-26T10:28:00Z</dcterms:created>
  <dc:creator>Jack刘</dc:creator>
  <cp:lastModifiedBy>WPS_1650506111</cp:lastModifiedBy>
  <dcterms:modified xsi:type="dcterms:W3CDTF">2026-04-08T03:47:28Z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2023-10-26T11:56:04Z</vt:filetime>
  </property>
  <property fmtid="{D5CDD505-2E9C-101B-9397-08002B2CF9AE}" pid="4" name="KSOProductBuildVer">
    <vt:lpwstr>2052-12.1.0.19302</vt:lpwstr>
  </property>
  <property fmtid="{D5CDD505-2E9C-101B-9397-08002B2CF9AE}" pid="5" name="ICV">
    <vt:lpwstr>44BACA85E1644D37B45C7C6A882D645F_13</vt:lpwstr>
  </property>
  <property fmtid="{D5CDD505-2E9C-101B-9397-08002B2CF9AE}" pid="6" name="KSOTemplateDocerSaveRecord">
    <vt:lpwstr>eyJoZGlkIjoiMWVhNGYzYjY1MmY5NmFhNThlNjI1NDAyNTJlZDZiM2IiLCJ1c2VySWQiOiIxMzYyNzI1OTY5In0=</vt:lpwstr>
  </property>
</Properties>
</file>