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小标宋简体"/>
          <w:sz w:val="44"/>
          <w:szCs w:val="44"/>
        </w:rPr>
      </w:pPr>
      <w:bookmarkStart w:id="0" w:name="_GoBack"/>
      <w:r>
        <w:rPr>
          <w:rFonts w:ascii="Times New Roman" w:hAnsi="Times New Roman" w:eastAsia="方正小标宋简体"/>
          <w:sz w:val="44"/>
          <w:szCs w:val="44"/>
        </w:rPr>
        <w:t>2024年</w:t>
      </w:r>
      <w:r>
        <w:rPr>
          <w:rFonts w:hint="eastAsia" w:ascii="Times New Roman" w:hAnsi="Times New Roman" w:eastAsia="方正小标宋简体"/>
          <w:sz w:val="44"/>
          <w:szCs w:val="44"/>
        </w:rPr>
        <w:t>无锡市直属学校</w:t>
      </w:r>
      <w:r>
        <w:rPr>
          <w:rFonts w:ascii="Times New Roman" w:hAnsi="Times New Roman" w:eastAsia="方正小标宋简体"/>
          <w:sz w:val="44"/>
          <w:szCs w:val="44"/>
        </w:rPr>
        <w:t>学生资助工作要点</w:t>
      </w:r>
    </w:p>
    <w:bookmarkEnd w:id="0"/>
    <w:p>
      <w:pPr>
        <w:widowControl/>
        <w:adjustRightInd w:val="0"/>
        <w:snapToGrid w:val="0"/>
        <w:spacing w:line="580" w:lineRule="exact"/>
        <w:ind w:firstLine="640" w:firstLineChars="200"/>
        <w:textAlignment w:val="baseline"/>
        <w:rPr>
          <w:rFonts w:ascii="Times New Roman" w:hAnsi="Times New Roman" w:eastAsia="仿宋_GB2312"/>
          <w:sz w:val="32"/>
          <w:szCs w:val="32"/>
        </w:rPr>
      </w:pPr>
      <w:r>
        <w:rPr>
          <w:rFonts w:ascii="Times New Roman" w:hAnsi="Times New Roman" w:eastAsia="仿宋_GB2312"/>
          <w:sz w:val="32"/>
          <w:szCs w:val="32"/>
        </w:rPr>
        <w:t>2024年是新中国成立75周年，是实现“十四五”规划目标任务的关键一年。学生资助工作要坚持以习近平新时代中国特色社会主义思想为指导，全面贯彻落实党的二十大精神，深入学习贯彻习近平总书记关于教育的重要论述，深刻领悟“两个确立”的决定性意义，增强“四个意识”、坚定“四个自信”，做到“两个维护”。全面贯彻党的教育方针，以立德树人为根本任务，坚持“严”的总基调、发扬“实”的好作风，构建保障与发展并重的一体两翼资助服务体系，为家庭经济困难学生提供安全友善、资源可及、解决急难愁盼问题的成长环境。</w:t>
      </w:r>
    </w:p>
    <w:p>
      <w:pPr>
        <w:widowControl/>
        <w:adjustRightInd w:val="0"/>
        <w:snapToGrid w:val="0"/>
        <w:spacing w:line="580" w:lineRule="exact"/>
        <w:ind w:firstLine="640" w:firstLineChars="200"/>
        <w:textAlignment w:val="baseline"/>
        <w:rPr>
          <w:rFonts w:ascii="Times New Roman" w:hAnsi="Times New Roman" w:eastAsia="黑体"/>
          <w:sz w:val="32"/>
          <w:szCs w:val="32"/>
        </w:rPr>
      </w:pPr>
      <w:r>
        <w:rPr>
          <w:rFonts w:ascii="Times New Roman" w:hAnsi="Times New Roman" w:eastAsia="黑体"/>
          <w:sz w:val="32"/>
          <w:szCs w:val="32"/>
        </w:rPr>
        <w:t>一、扎实做好保障型资助工作</w:t>
      </w:r>
    </w:p>
    <w:p>
      <w:pPr>
        <w:widowControl/>
        <w:adjustRightInd w:val="0"/>
        <w:snapToGrid w:val="0"/>
        <w:spacing w:line="580" w:lineRule="exact"/>
        <w:ind w:firstLine="640" w:firstLineChars="200"/>
        <w:textAlignment w:val="baseline"/>
        <w:rPr>
          <w:rFonts w:ascii="Times New Roman" w:hAnsi="Times New Roman" w:eastAsia="仿宋_GB2312"/>
          <w:sz w:val="32"/>
          <w:szCs w:val="32"/>
        </w:rPr>
      </w:pPr>
      <w:r>
        <w:rPr>
          <w:rFonts w:ascii="Times New Roman" w:hAnsi="Times New Roman" w:eastAsia="楷体_GB2312"/>
          <w:sz w:val="32"/>
          <w:szCs w:val="32"/>
        </w:rPr>
        <w:t>1.不折不扣落实资助政策。</w:t>
      </w:r>
      <w:r>
        <w:rPr>
          <w:rFonts w:ascii="Times New Roman" w:hAnsi="Times New Roman" w:eastAsia="仿宋_GB2312"/>
          <w:sz w:val="32"/>
          <w:szCs w:val="32"/>
        </w:rPr>
        <w:t>做好奖助学金发放、学杂费和在校午餐费减免等各项常规工作，各类政府资助资金在规定时限内足额发放到位。全面执行《无锡市“十四五”特殊教育发展提升行动计划》（锡教发〔2023〕8号），保障3-6岁特需幼儿免费教育。严格按照省、市有关文件规定，普通高中和幼儿园从事业收入中足额提取3%-5%的经费用于校内奖助学生和实施发展型资助育人。继续实施“筑梦书香”“中小学励志奖学金”“暖芯护苗”等省市级社会资助项目。</w:t>
      </w:r>
    </w:p>
    <w:p>
      <w:pPr>
        <w:widowControl/>
        <w:adjustRightInd w:val="0"/>
        <w:snapToGrid w:val="0"/>
        <w:spacing w:line="580" w:lineRule="exact"/>
        <w:ind w:firstLine="640" w:firstLineChars="200"/>
        <w:textAlignment w:val="baseline"/>
        <w:rPr>
          <w:rFonts w:ascii="Times New Roman" w:hAnsi="Times New Roman" w:eastAsia="仿宋_GB2312"/>
          <w:sz w:val="32"/>
          <w:szCs w:val="32"/>
        </w:rPr>
      </w:pPr>
      <w:r>
        <w:rPr>
          <w:rFonts w:ascii="Times New Roman" w:hAnsi="Times New Roman" w:eastAsia="楷体_GB2312"/>
          <w:sz w:val="32"/>
          <w:szCs w:val="32"/>
        </w:rPr>
        <w:t>2.完善各学段政策体系。</w:t>
      </w:r>
      <w:r>
        <w:rPr>
          <w:rFonts w:ascii="Times New Roman" w:hAnsi="Times New Roman" w:eastAsia="仿宋_GB2312"/>
          <w:sz w:val="32"/>
          <w:szCs w:val="32"/>
        </w:rPr>
        <w:t>落实省出台的各类资助新政策，及时更新资助体系。鼓励学校完善中职学校资助制度，通过各种渠道对中职学校三年级学生发放助学金。推动与教育发展基金会和慈善组织开展交流合作，积极争取社会资金对现有国家资助政策进行补充完善，为家庭经济困难学生解决燃眉之急。</w:t>
      </w:r>
    </w:p>
    <w:p>
      <w:pPr>
        <w:widowControl/>
        <w:adjustRightInd w:val="0"/>
        <w:snapToGrid w:val="0"/>
        <w:spacing w:line="580"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3.持续提升精准资助水平。</w:t>
      </w:r>
      <w:r>
        <w:rPr>
          <w:rFonts w:ascii="Times New Roman" w:hAnsi="Times New Roman" w:eastAsia="仿宋_GB2312"/>
          <w:sz w:val="32"/>
          <w:szCs w:val="32"/>
        </w:rPr>
        <w:t>全面使用市阳光资助平台，对特殊困难学生全面实行“免申即享”；对申请学生实行100%家访全覆盖，做到先家访后认定；对资助经费实现精准分配、测算和下达。严格执行资助申请、集体评议、合理公示、责任追溯等制度，确保应助尽助。推动各业务条线教育信息共享，实现更加精准和人性化的无痕资助。开展社保卡“一卡通”应用试点，为资助资金发放提质增效。</w:t>
      </w:r>
    </w:p>
    <w:p>
      <w:pPr>
        <w:widowControl/>
        <w:adjustRightInd w:val="0"/>
        <w:snapToGrid w:val="0"/>
        <w:spacing w:line="580"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4.加强资助政策宣传教育。</w:t>
      </w:r>
      <w:r>
        <w:rPr>
          <w:rFonts w:ascii="Times New Roman" w:hAnsi="Times New Roman" w:eastAsia="仿宋_GB2312"/>
          <w:sz w:val="32"/>
          <w:szCs w:val="32"/>
        </w:rPr>
        <w:t>把握资助宣传的“三时三面两线”(“三时”指招生时、报到时、毕业时三个关键时点，“三面”指学校、家庭、社会三个层面，“两线”指线上、线下两条主线)，切实提高政策知晓度。依托市阳光资助平台，探索《告家长书》线上宣传新模式。印发致初中、高中毕业生两封信，发送学生资助公益短信。常态化开展资助政策咨询与投诉、防诈骗警示教育，健全学生资助舆情监控与应急处置机制。</w:t>
      </w:r>
    </w:p>
    <w:p>
      <w:pPr>
        <w:widowControl/>
        <w:adjustRightInd w:val="0"/>
        <w:snapToGrid w:val="0"/>
        <w:spacing w:line="580" w:lineRule="exact"/>
        <w:ind w:firstLine="640" w:firstLineChars="200"/>
        <w:textAlignment w:val="baseline"/>
        <w:rPr>
          <w:rFonts w:ascii="Times New Roman" w:hAnsi="Times New Roman" w:eastAsia="黑体"/>
          <w:sz w:val="32"/>
          <w:szCs w:val="32"/>
        </w:rPr>
      </w:pPr>
      <w:r>
        <w:rPr>
          <w:rFonts w:ascii="Times New Roman" w:hAnsi="Times New Roman" w:eastAsia="黑体"/>
          <w:sz w:val="32"/>
          <w:szCs w:val="32"/>
        </w:rPr>
        <w:t>二、积极推进发展型资助育人</w:t>
      </w:r>
    </w:p>
    <w:p>
      <w:pPr>
        <w:widowControl/>
        <w:adjustRightInd w:val="0"/>
        <w:snapToGrid w:val="0"/>
        <w:spacing w:line="580" w:lineRule="exact"/>
        <w:ind w:firstLine="640" w:firstLineChars="200"/>
        <w:textAlignment w:val="baseline"/>
        <w:rPr>
          <w:rFonts w:ascii="Times New Roman" w:hAnsi="Times New Roman" w:eastAsia="仿宋_GB2312"/>
          <w:sz w:val="32"/>
          <w:szCs w:val="32"/>
        </w:rPr>
      </w:pPr>
      <w:r>
        <w:rPr>
          <w:rFonts w:ascii="Times New Roman" w:hAnsi="Times New Roman" w:eastAsia="楷体_GB2312"/>
          <w:sz w:val="32"/>
          <w:szCs w:val="32"/>
        </w:rPr>
        <w:t>5.发展型资助“六个全覆盖”。</w:t>
      </w:r>
      <w:r>
        <w:rPr>
          <w:rFonts w:ascii="Times New Roman" w:hAnsi="Times New Roman" w:eastAsia="仿宋_GB2312"/>
          <w:b/>
          <w:bCs/>
          <w:sz w:val="32"/>
          <w:szCs w:val="32"/>
        </w:rPr>
        <w:t>一</w:t>
      </w:r>
      <w:r>
        <w:rPr>
          <w:rFonts w:ascii="Times New Roman" w:hAnsi="Times New Roman" w:eastAsia="仿宋_GB2312"/>
          <w:sz w:val="32"/>
          <w:szCs w:val="32"/>
        </w:rPr>
        <w:t>是学生发展支持中心（或学生发展指导中心）全覆盖，各校应落实资助阵地，在学生工作处或者德育工作处增挂牌子；</w:t>
      </w:r>
      <w:r>
        <w:rPr>
          <w:rFonts w:ascii="Times New Roman" w:hAnsi="Times New Roman" w:eastAsia="仿宋_GB2312"/>
          <w:b/>
          <w:bCs/>
          <w:sz w:val="32"/>
          <w:szCs w:val="32"/>
        </w:rPr>
        <w:t>二</w:t>
      </w:r>
      <w:r>
        <w:rPr>
          <w:rFonts w:ascii="Times New Roman" w:hAnsi="Times New Roman" w:eastAsia="仿宋_GB2312"/>
          <w:sz w:val="32"/>
          <w:szCs w:val="32"/>
        </w:rPr>
        <w:t>是家庭经济困难学生家访全覆盖，根据《市教育局关于进一步加强中小学家访工作的实施意见》（锡教德发〔2022〕9号），对市系统中待走访学生开展100%全覆盖实地走访，并做好走访记录。家访过程突出隐私保护、尊严维护，传递党和国家的温暖，加深师生感情，推动家校协同，为精准认定和因材施教奠定基础。</w:t>
      </w:r>
      <w:r>
        <w:rPr>
          <w:rFonts w:ascii="Times New Roman" w:hAnsi="Times New Roman" w:eastAsia="仿宋_GB2312"/>
          <w:b/>
          <w:bCs/>
          <w:sz w:val="32"/>
          <w:szCs w:val="32"/>
        </w:rPr>
        <w:t>三</w:t>
      </w:r>
      <w:r>
        <w:rPr>
          <w:rFonts w:ascii="Times New Roman" w:hAnsi="Times New Roman" w:eastAsia="仿宋_GB2312"/>
          <w:sz w:val="32"/>
          <w:szCs w:val="32"/>
        </w:rPr>
        <w:t>是家庭经济困难学生成长奖励制度全覆盖，通过发放奖学金、给予公开表彰，或提供岗位锻炼、研学机会等，奖励每一名家庭经济困难学生；</w:t>
      </w:r>
      <w:r>
        <w:rPr>
          <w:rFonts w:ascii="Times New Roman" w:hAnsi="Times New Roman" w:eastAsia="仿宋_GB2312"/>
          <w:b/>
          <w:bCs/>
          <w:sz w:val="32"/>
          <w:szCs w:val="32"/>
        </w:rPr>
        <w:t>四</w:t>
      </w:r>
      <w:r>
        <w:rPr>
          <w:rFonts w:ascii="Times New Roman" w:hAnsi="Times New Roman" w:eastAsia="仿宋_GB2312"/>
          <w:sz w:val="32"/>
          <w:szCs w:val="32"/>
        </w:rPr>
        <w:t>是家庭经济困难学生资助成长档案全覆盖，学校记录家庭走访、学生特点、成长奖励等情况；</w:t>
      </w:r>
      <w:r>
        <w:rPr>
          <w:rFonts w:ascii="Times New Roman" w:hAnsi="Times New Roman" w:eastAsia="仿宋_GB2312"/>
          <w:b/>
          <w:bCs/>
          <w:sz w:val="32"/>
          <w:szCs w:val="32"/>
        </w:rPr>
        <w:t>五</w:t>
      </w:r>
      <w:r>
        <w:rPr>
          <w:rFonts w:ascii="Times New Roman" w:hAnsi="Times New Roman" w:eastAsia="仿宋_GB2312"/>
          <w:sz w:val="32"/>
          <w:szCs w:val="32"/>
        </w:rPr>
        <w:t>是重点帮扶对象育人导师配备全覆盖；</w:t>
      </w:r>
      <w:r>
        <w:rPr>
          <w:rFonts w:ascii="Times New Roman" w:hAnsi="Times New Roman" w:eastAsia="仿宋_GB2312"/>
          <w:b/>
          <w:bCs/>
          <w:sz w:val="32"/>
          <w:szCs w:val="32"/>
        </w:rPr>
        <w:t>六</w:t>
      </w:r>
      <w:r>
        <w:rPr>
          <w:rFonts w:ascii="Times New Roman" w:hAnsi="Times New Roman" w:eastAsia="仿宋_GB2312"/>
          <w:sz w:val="32"/>
          <w:szCs w:val="32"/>
        </w:rPr>
        <w:t>是围绕重点帮扶对象的成长开展常态化研讨，实现教育救助服务全覆盖。</w:t>
      </w:r>
    </w:p>
    <w:p>
      <w:pPr>
        <w:widowControl/>
        <w:adjustRightInd w:val="0"/>
        <w:snapToGrid w:val="0"/>
        <w:spacing w:line="580" w:lineRule="exact"/>
        <w:ind w:firstLine="640" w:firstLineChars="200"/>
        <w:textAlignment w:val="baseline"/>
        <w:rPr>
          <w:rFonts w:ascii="Times New Roman" w:hAnsi="Times New Roman" w:eastAsia="仿宋_GB2312"/>
          <w:sz w:val="32"/>
          <w:szCs w:val="32"/>
        </w:rPr>
      </w:pPr>
      <w:r>
        <w:rPr>
          <w:rFonts w:ascii="Times New Roman" w:hAnsi="Times New Roman" w:eastAsia="楷体_GB2312"/>
          <w:sz w:val="32"/>
          <w:szCs w:val="32"/>
        </w:rPr>
        <w:t>6.丰富发展型资助育人活动。</w:t>
      </w:r>
      <w:r>
        <w:rPr>
          <w:rFonts w:ascii="Times New Roman" w:hAnsi="Times New Roman" w:eastAsia="仿宋_GB2312"/>
          <w:sz w:val="32"/>
          <w:szCs w:val="32"/>
        </w:rPr>
        <w:t>积极参加省“苏乡永助”系列活动。开展“锡望永助”系列活动：</w:t>
      </w:r>
      <w:r>
        <w:rPr>
          <w:rFonts w:ascii="Times New Roman" w:hAnsi="Times New Roman" w:eastAsia="仿宋_GB2312"/>
          <w:b/>
          <w:bCs/>
          <w:sz w:val="32"/>
          <w:szCs w:val="32"/>
        </w:rPr>
        <w:t>一</w:t>
      </w:r>
      <w:r>
        <w:rPr>
          <w:rFonts w:ascii="Times New Roman" w:hAnsi="Times New Roman" w:eastAsia="仿宋_GB2312"/>
          <w:sz w:val="32"/>
          <w:szCs w:val="32"/>
        </w:rPr>
        <w:t>是开展中小学励志奖学金项目；</w:t>
      </w:r>
      <w:r>
        <w:rPr>
          <w:rFonts w:ascii="Times New Roman" w:hAnsi="Times New Roman" w:eastAsia="仿宋_GB2312"/>
          <w:b/>
          <w:bCs/>
          <w:sz w:val="32"/>
          <w:szCs w:val="32"/>
        </w:rPr>
        <w:t>二</w:t>
      </w:r>
      <w:r>
        <w:rPr>
          <w:rFonts w:ascii="Times New Roman" w:hAnsi="Times New Roman" w:eastAsia="仿宋_GB2312"/>
          <w:sz w:val="32"/>
          <w:szCs w:val="32"/>
        </w:rPr>
        <w:t>是开展优秀家庭经济困难高三应届毕业生奖学金项目；</w:t>
      </w:r>
      <w:r>
        <w:rPr>
          <w:rFonts w:ascii="Times New Roman" w:hAnsi="Times New Roman" w:eastAsia="仿宋_GB2312"/>
          <w:b/>
          <w:bCs/>
          <w:sz w:val="32"/>
          <w:szCs w:val="32"/>
        </w:rPr>
        <w:t>三</w:t>
      </w:r>
      <w:r>
        <w:rPr>
          <w:rFonts w:ascii="Times New Roman" w:hAnsi="Times New Roman" w:eastAsia="仿宋_GB2312"/>
          <w:sz w:val="32"/>
          <w:szCs w:val="32"/>
        </w:rPr>
        <w:t>是家庭经济困难叠加心理帮扶助学项目；</w:t>
      </w:r>
      <w:r>
        <w:rPr>
          <w:rFonts w:ascii="Times New Roman" w:hAnsi="Times New Roman" w:eastAsia="仿宋_GB2312"/>
          <w:b/>
          <w:bCs/>
          <w:sz w:val="32"/>
          <w:szCs w:val="32"/>
        </w:rPr>
        <w:t>四</w:t>
      </w:r>
      <w:r>
        <w:rPr>
          <w:rFonts w:ascii="Times New Roman" w:hAnsi="Times New Roman" w:eastAsia="仿宋_GB2312"/>
          <w:sz w:val="32"/>
          <w:szCs w:val="32"/>
        </w:rPr>
        <w:t>是开展暑期研学活动项目；</w:t>
      </w:r>
      <w:r>
        <w:rPr>
          <w:rFonts w:ascii="Times New Roman" w:hAnsi="Times New Roman" w:eastAsia="仿宋_GB2312"/>
          <w:b/>
          <w:bCs/>
          <w:sz w:val="32"/>
          <w:szCs w:val="32"/>
        </w:rPr>
        <w:t>五</w:t>
      </w:r>
      <w:r>
        <w:rPr>
          <w:rFonts w:ascii="Times New Roman" w:hAnsi="Times New Roman" w:eastAsia="仿宋_GB2312"/>
          <w:sz w:val="32"/>
          <w:szCs w:val="32"/>
        </w:rPr>
        <w:t>是开展优秀资助工作者评选项目。</w:t>
      </w:r>
    </w:p>
    <w:p>
      <w:pPr>
        <w:widowControl/>
        <w:adjustRightInd w:val="0"/>
        <w:snapToGrid w:val="0"/>
        <w:spacing w:line="580" w:lineRule="exact"/>
        <w:ind w:firstLine="640" w:firstLineChars="200"/>
        <w:rPr>
          <w:rFonts w:ascii="Times New Roman" w:hAnsi="Times New Roman" w:eastAsia="仿宋_GB2312"/>
          <w:sz w:val="32"/>
          <w:szCs w:val="32"/>
        </w:rPr>
      </w:pPr>
      <w:r>
        <w:rPr>
          <w:rFonts w:ascii="Times New Roman" w:hAnsi="Times New Roman" w:eastAsia="楷体_GB2312"/>
          <w:sz w:val="32"/>
          <w:szCs w:val="32"/>
        </w:rPr>
        <w:t>7.信息化助力发展型资助。</w:t>
      </w:r>
      <w:r>
        <w:rPr>
          <w:rFonts w:ascii="Times New Roman" w:hAnsi="Times New Roman" w:eastAsia="仿宋_GB2312"/>
          <w:sz w:val="32"/>
          <w:szCs w:val="32"/>
        </w:rPr>
        <w:t>进一步完善市阳光资助平台功能，</w:t>
      </w:r>
      <w:r>
        <w:rPr>
          <w:rFonts w:ascii="Times New Roman" w:hAnsi="Times New Roman" w:eastAsia="仿宋_GB2312"/>
          <w:b/>
          <w:bCs/>
          <w:sz w:val="32"/>
          <w:szCs w:val="32"/>
        </w:rPr>
        <w:t>一</w:t>
      </w:r>
      <w:r>
        <w:rPr>
          <w:rFonts w:ascii="Times New Roman" w:hAnsi="Times New Roman" w:eastAsia="仿宋_GB2312"/>
          <w:sz w:val="32"/>
          <w:szCs w:val="32"/>
        </w:rPr>
        <w:t>是增加发展型资助育人功能模块，对重点帮扶的家庭经济困难学生系统分配育人导师，并定期记录学生成长情况；</w:t>
      </w:r>
      <w:r>
        <w:rPr>
          <w:rFonts w:ascii="Times New Roman" w:hAnsi="Times New Roman" w:eastAsia="仿宋_GB2312"/>
          <w:b/>
          <w:bCs/>
          <w:sz w:val="32"/>
          <w:szCs w:val="32"/>
        </w:rPr>
        <w:t>二</w:t>
      </w:r>
      <w:r>
        <w:rPr>
          <w:rFonts w:ascii="Times New Roman" w:hAnsi="Times New Roman" w:eastAsia="仿宋_GB2312"/>
          <w:sz w:val="32"/>
          <w:szCs w:val="32"/>
        </w:rPr>
        <w:t>是增加学生资助成长档案记录功能，系统生成每一名学生的资助历史；</w:t>
      </w:r>
      <w:r>
        <w:rPr>
          <w:rFonts w:ascii="Times New Roman" w:hAnsi="Times New Roman" w:eastAsia="仿宋_GB2312"/>
          <w:b/>
          <w:bCs/>
          <w:sz w:val="32"/>
          <w:szCs w:val="32"/>
        </w:rPr>
        <w:t>三</w:t>
      </w:r>
      <w:r>
        <w:rPr>
          <w:rFonts w:ascii="Times New Roman" w:hAnsi="Times New Roman" w:eastAsia="仿宋_GB2312"/>
          <w:sz w:val="32"/>
          <w:szCs w:val="32"/>
        </w:rPr>
        <w:t>是构建学生资助大数据平台，汇总展示各地各校家庭经济困难学生保障型和发展型资助况，分地区分学段绘制资助成效图谱。</w:t>
      </w:r>
    </w:p>
    <w:p>
      <w:pPr>
        <w:widowControl/>
        <w:adjustRightInd w:val="0"/>
        <w:snapToGrid w:val="0"/>
        <w:spacing w:line="580" w:lineRule="exact"/>
        <w:ind w:firstLine="640" w:firstLineChars="200"/>
        <w:textAlignment w:val="baseline"/>
        <w:rPr>
          <w:rFonts w:ascii="Times New Roman" w:hAnsi="Times New Roman" w:eastAsia="黑体"/>
          <w:sz w:val="32"/>
          <w:szCs w:val="32"/>
        </w:rPr>
      </w:pPr>
      <w:r>
        <w:rPr>
          <w:rFonts w:ascii="Times New Roman" w:hAnsi="Times New Roman" w:eastAsia="黑体"/>
          <w:sz w:val="32"/>
          <w:szCs w:val="32"/>
        </w:rPr>
        <w:t>三、规范管理促进高质量资助</w:t>
      </w:r>
    </w:p>
    <w:p>
      <w:pPr>
        <w:widowControl/>
        <w:adjustRightInd w:val="0"/>
        <w:snapToGrid w:val="0"/>
        <w:spacing w:line="580" w:lineRule="exact"/>
        <w:ind w:firstLine="640" w:firstLineChars="200"/>
        <w:textAlignment w:val="baseline"/>
        <w:rPr>
          <w:rFonts w:ascii="Times New Roman" w:hAnsi="Times New Roman" w:eastAsia="仿宋_GB2312"/>
          <w:sz w:val="32"/>
          <w:szCs w:val="32"/>
        </w:rPr>
      </w:pPr>
      <w:r>
        <w:rPr>
          <w:rFonts w:ascii="Times New Roman" w:hAnsi="Times New Roman" w:eastAsia="楷体_GB2312"/>
          <w:sz w:val="32"/>
          <w:szCs w:val="32"/>
        </w:rPr>
        <w:t>7.加强专业能力建设。</w:t>
      </w:r>
      <w:r>
        <w:rPr>
          <w:rFonts w:ascii="Times New Roman" w:hAnsi="Times New Roman" w:eastAsia="仿宋_GB2312"/>
          <w:b/>
          <w:bCs/>
          <w:sz w:val="32"/>
          <w:szCs w:val="32"/>
        </w:rPr>
        <w:t>一</w:t>
      </w:r>
      <w:r>
        <w:rPr>
          <w:rFonts w:ascii="Times New Roman" w:hAnsi="Times New Roman" w:eastAsia="仿宋_GB2312"/>
          <w:sz w:val="32"/>
          <w:szCs w:val="32"/>
        </w:rPr>
        <w:t>是强化人员激励。根据《市教育局等十二部门印发无锡市家庭经济困难学生发展型资助育人工作指导意见的通知》（锡教助发〔2023〕5号），将资助工作纳入教师工作量予以认定，资助育人方面的成效作为职称评定、评比表彰的重要参考。</w:t>
      </w:r>
      <w:r>
        <w:rPr>
          <w:rFonts w:ascii="Times New Roman" w:hAnsi="Times New Roman" w:eastAsia="仿宋_GB2312"/>
          <w:b/>
          <w:bCs/>
          <w:sz w:val="32"/>
          <w:szCs w:val="32"/>
        </w:rPr>
        <w:t>二</w:t>
      </w:r>
      <w:r>
        <w:rPr>
          <w:rFonts w:ascii="Times New Roman" w:hAnsi="Times New Roman" w:eastAsia="仿宋_GB2312"/>
          <w:sz w:val="32"/>
          <w:szCs w:val="32"/>
        </w:rPr>
        <w:t>是强化人员培训。组织资助业务培训、信息化操作培训等专项学习活动，确保工作规范无疏漏、业务水平有提升。</w:t>
      </w:r>
      <w:r>
        <w:rPr>
          <w:rFonts w:ascii="Times New Roman" w:hAnsi="Times New Roman" w:eastAsia="仿宋_GB2312"/>
          <w:b/>
          <w:bCs/>
          <w:sz w:val="32"/>
          <w:szCs w:val="32"/>
        </w:rPr>
        <w:t>三</w:t>
      </w:r>
      <w:r>
        <w:rPr>
          <w:rFonts w:ascii="Times New Roman" w:hAnsi="Times New Roman" w:eastAsia="仿宋_GB2312"/>
          <w:sz w:val="32"/>
          <w:szCs w:val="32"/>
        </w:rPr>
        <w:t>是强化能力锻造。省将发展型资助内容纳入2024年度省中小学班主任和心理健康教师基本功大赛。各校要传达相关精神，积极鼓励和支持广大教师参与到发展型资助育人工作。</w:t>
      </w:r>
    </w:p>
    <w:p>
      <w:pPr>
        <w:widowControl/>
        <w:adjustRightInd w:val="0"/>
        <w:snapToGrid w:val="0"/>
        <w:spacing w:line="580" w:lineRule="exact"/>
        <w:ind w:firstLine="640" w:firstLineChars="200"/>
        <w:textAlignment w:val="baseline"/>
        <w:rPr>
          <w:rFonts w:ascii="Times New Roman" w:hAnsi="Times New Roman" w:eastAsia="仿宋_GB2312"/>
          <w:sz w:val="32"/>
          <w:szCs w:val="32"/>
        </w:rPr>
      </w:pPr>
      <w:r>
        <w:rPr>
          <w:rFonts w:ascii="Times New Roman" w:hAnsi="Times New Roman" w:eastAsia="楷体_GB2312"/>
          <w:sz w:val="32"/>
          <w:szCs w:val="32"/>
        </w:rPr>
        <w:t>8.加强管理与绩效考核。</w:t>
      </w:r>
      <w:r>
        <w:rPr>
          <w:rFonts w:ascii="Times New Roman" w:hAnsi="Times New Roman" w:eastAsia="仿宋_GB2312"/>
          <w:b/>
          <w:bCs/>
          <w:sz w:val="32"/>
          <w:szCs w:val="32"/>
        </w:rPr>
        <w:t>一</w:t>
      </w:r>
      <w:r>
        <w:rPr>
          <w:rFonts w:ascii="Times New Roman" w:hAnsi="Times New Roman" w:eastAsia="仿宋_GB2312"/>
          <w:sz w:val="32"/>
          <w:szCs w:val="32"/>
        </w:rPr>
        <w:t>是规范数据填报与应用。严格按照“谁填报谁负责”“谁审核谁负责”的原则，做到资助系统应用“3个100%”和“3个零误差”。充分发挥系统数据在完善政策、测算经费、规范管理等方面的作用。</w:t>
      </w:r>
      <w:r>
        <w:rPr>
          <w:rFonts w:ascii="Times New Roman" w:hAnsi="Times New Roman" w:eastAsia="仿宋_GB2312"/>
          <w:b/>
          <w:bCs/>
          <w:sz w:val="32"/>
          <w:szCs w:val="32"/>
        </w:rPr>
        <w:t>二</w:t>
      </w:r>
      <w:r>
        <w:rPr>
          <w:rFonts w:ascii="Times New Roman" w:hAnsi="Times New Roman" w:eastAsia="仿宋_GB2312"/>
          <w:sz w:val="32"/>
          <w:szCs w:val="32"/>
        </w:rPr>
        <w:t>是建立数据通报制度。对学校各类资助系统中填报的数据和资助过程性数据予以通报，推进学生资助系统应用和数据质量提升。</w:t>
      </w:r>
      <w:r>
        <w:rPr>
          <w:rFonts w:ascii="Times New Roman" w:hAnsi="Times New Roman" w:eastAsia="仿宋_GB2312"/>
          <w:b/>
          <w:bCs/>
          <w:sz w:val="32"/>
          <w:szCs w:val="32"/>
        </w:rPr>
        <w:t>三</w:t>
      </w:r>
      <w:r>
        <w:rPr>
          <w:rFonts w:ascii="Times New Roman" w:hAnsi="Times New Roman" w:eastAsia="仿宋_GB2312"/>
          <w:sz w:val="32"/>
          <w:szCs w:val="32"/>
        </w:rPr>
        <w:t>是开展绩效考核。对直属学校继续开展学生资助绩效考核，落实资助信息化管理闭环。将绩效考核结果与后续资助资金下达挂钩。</w:t>
      </w:r>
    </w:p>
    <w:p>
      <w:pPr>
        <w:pStyle w:val="7"/>
        <w:adjustRightInd w:val="0"/>
        <w:snapToGrid w:val="0"/>
        <w:spacing w:line="560" w:lineRule="exact"/>
        <w:ind w:firstLine="640" w:firstLineChars="200"/>
        <w:rPr>
          <w:rFonts w:ascii="Times New Roman" w:hAnsi="Times New Roman" w:eastAsia="仿宋_GB2312" w:cs="Times New Roman"/>
          <w:kern w:val="2"/>
          <w:sz w:val="32"/>
          <w:szCs w:val="32"/>
        </w:rPr>
      </w:pPr>
    </w:p>
    <w:sectPr>
      <w:footerReference r:id="rId3" w:type="default"/>
      <w:footerReference r:id="rId4" w:type="even"/>
      <w:pgSz w:w="11906" w:h="16838"/>
      <w:pgMar w:top="2098" w:right="1474" w:bottom="1985"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BFDE7543-2654-2C0E-9C07-4B660AF71778}"/>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script"/>
    <w:pitch w:val="default"/>
    <w:sig w:usb0="A00002BF" w:usb1="38CF7CFA" w:usb2="00082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2" w:fontKey="{A1673306-85CE-52F0-9C07-4B668605436F}"/>
  </w:font>
  <w:font w:name="楷体_GB2312">
    <w:altName w:val="汉仪楷体简"/>
    <w:panose1 w:val="02010609030101010101"/>
    <w:charset w:val="86"/>
    <w:family w:val="modern"/>
    <w:pitch w:val="default"/>
    <w:sig w:usb0="00000000" w:usb1="00000000" w:usb2="00000010" w:usb3="00000000" w:csb0="00040000" w:csb1="00000000"/>
  </w:font>
  <w:font w:name="汉仪书宋二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中黑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PingFang SC">
    <w:panose1 w:val="020B0400000000000000"/>
    <w:charset w:val="86"/>
    <w:family w:val="auto"/>
    <w:pitch w:val="default"/>
    <w:sig w:usb0="A00002FF" w:usb1="7ACFFDFB" w:usb2="00000017" w:usb3="00000000" w:csb0="00040001" w:csb1="00000000"/>
  </w:font>
  <w:font w:name="Tahoma">
    <w:panose1 w:val="020B08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30"/>
        <w:szCs w:val="30"/>
      </w:rPr>
      <w:id w:val="-1"/>
      <w:docPartObj>
        <w:docPartGallery w:val="AutoText"/>
      </w:docPartObj>
    </w:sdtPr>
    <w:sdtEndPr>
      <w:rPr>
        <w:rFonts w:ascii="Times New Roman" w:hAnsi="Times New Roman" w:cs="Times New Roman"/>
        <w:sz w:val="30"/>
        <w:szCs w:val="30"/>
      </w:rPr>
    </w:sdtEndPr>
    <w:sdtContent>
      <w:p>
        <w:pPr>
          <w:pStyle w:val="5"/>
          <w:jc w:val="right"/>
          <w:rPr>
            <w:rFonts w:ascii="Times New Roman" w:hAnsi="Times New Roman" w:cs="Times New Roman"/>
            <w:sz w:val="30"/>
            <w:szCs w:val="30"/>
          </w:rPr>
        </w:pPr>
        <w:r>
          <w:rPr>
            <w:rFonts w:hint="eastAsia" w:ascii="Times New Roman" w:hAnsi="Times New Roman" w:cs="Times New Roman"/>
            <w:sz w:val="30"/>
            <w:szCs w:val="30"/>
          </w:rPr>
          <w:t xml:space="preserve">— </w:t>
        </w:r>
        <w:r>
          <w:rPr>
            <w:rFonts w:ascii="Times New Roman" w:hAnsi="Times New Roman" w:cs="Times New Roman"/>
            <w:sz w:val="30"/>
            <w:szCs w:val="30"/>
          </w:rPr>
          <w:fldChar w:fldCharType="begin"/>
        </w:r>
        <w:r>
          <w:rPr>
            <w:rFonts w:ascii="Times New Roman" w:hAnsi="Times New Roman" w:cs="Times New Roman"/>
            <w:sz w:val="30"/>
            <w:szCs w:val="30"/>
          </w:rPr>
          <w:instrText xml:space="preserve">PAGE   \* MERGEFORMAT</w:instrText>
        </w:r>
        <w:r>
          <w:rPr>
            <w:rFonts w:ascii="Times New Roman" w:hAnsi="Times New Roman" w:cs="Times New Roman"/>
            <w:sz w:val="30"/>
            <w:szCs w:val="30"/>
          </w:rPr>
          <w:fldChar w:fldCharType="separate"/>
        </w:r>
        <w:r>
          <w:rPr>
            <w:rFonts w:ascii="Times New Roman" w:hAnsi="Times New Roman" w:cs="Times New Roman"/>
            <w:sz w:val="30"/>
            <w:szCs w:val="30"/>
            <w:lang w:val="zh-CN"/>
          </w:rPr>
          <w:t>7</w:t>
        </w:r>
        <w:r>
          <w:rPr>
            <w:rFonts w:ascii="Times New Roman" w:hAnsi="Times New Roman" w:cs="Times New Roman"/>
            <w:sz w:val="30"/>
            <w:szCs w:val="30"/>
          </w:rPr>
          <w:fldChar w:fldCharType="end"/>
        </w:r>
        <w:r>
          <w:rPr>
            <w:rFonts w:ascii="Times New Roman" w:hAnsi="Times New Roman" w:cs="Times New Roman"/>
            <w:sz w:val="30"/>
            <w:szCs w:val="30"/>
          </w:rPr>
          <w:t xml:space="preserve"> </w:t>
        </w:r>
        <w:r>
          <w:rPr>
            <w:rFonts w:hint="eastAsia" w:ascii="Times New Roman" w:hAnsi="Times New Roman" w:cs="Times New Roman"/>
            <w:sz w:val="30"/>
            <w:szCs w:val="30"/>
          </w:rPr>
          <w:t>—</w:t>
        </w:r>
      </w:p>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30"/>
        <w:szCs w:val="30"/>
      </w:rPr>
      <w:id w:val="-1"/>
      <w:docPartObj>
        <w:docPartGallery w:val="AutoText"/>
      </w:docPartObj>
    </w:sdtPr>
    <w:sdtEndPr>
      <w:rPr>
        <w:rFonts w:ascii="Times New Roman" w:hAnsi="Times New Roman" w:cs="Times New Roman"/>
        <w:sz w:val="30"/>
        <w:szCs w:val="30"/>
      </w:rPr>
    </w:sdtEndPr>
    <w:sdtContent>
      <w:p>
        <w:pPr>
          <w:pStyle w:val="5"/>
          <w:rPr>
            <w:rFonts w:ascii="Times New Roman" w:hAnsi="Times New Roman" w:cs="Times New Roman"/>
            <w:sz w:val="30"/>
            <w:szCs w:val="30"/>
          </w:rPr>
        </w:pPr>
        <w:r>
          <w:rPr>
            <w:rFonts w:hint="eastAsia" w:ascii="Times New Roman" w:hAnsi="Times New Roman" w:cs="Times New Roman"/>
            <w:sz w:val="30"/>
            <w:szCs w:val="30"/>
          </w:rPr>
          <w:t xml:space="preserve">— </w:t>
        </w:r>
        <w:r>
          <w:rPr>
            <w:rFonts w:ascii="Times New Roman" w:hAnsi="Times New Roman" w:cs="Times New Roman"/>
            <w:sz w:val="30"/>
            <w:szCs w:val="30"/>
          </w:rPr>
          <w:fldChar w:fldCharType="begin"/>
        </w:r>
        <w:r>
          <w:rPr>
            <w:rFonts w:ascii="Times New Roman" w:hAnsi="Times New Roman" w:cs="Times New Roman"/>
            <w:sz w:val="30"/>
            <w:szCs w:val="30"/>
          </w:rPr>
          <w:instrText xml:space="preserve">PAGE   \* MERGEFORMAT</w:instrText>
        </w:r>
        <w:r>
          <w:rPr>
            <w:rFonts w:ascii="Times New Roman" w:hAnsi="Times New Roman" w:cs="Times New Roman"/>
            <w:sz w:val="30"/>
            <w:szCs w:val="30"/>
          </w:rPr>
          <w:fldChar w:fldCharType="separate"/>
        </w:r>
        <w:r>
          <w:rPr>
            <w:rFonts w:ascii="Times New Roman" w:hAnsi="Times New Roman" w:cs="Times New Roman"/>
            <w:sz w:val="30"/>
            <w:szCs w:val="30"/>
            <w:lang w:val="zh-CN"/>
          </w:rPr>
          <w:t>8</w:t>
        </w:r>
        <w:r>
          <w:rPr>
            <w:rFonts w:ascii="Times New Roman" w:hAnsi="Times New Roman" w:cs="Times New Roman"/>
            <w:sz w:val="30"/>
            <w:szCs w:val="30"/>
          </w:rPr>
          <w:fldChar w:fldCharType="end"/>
        </w:r>
        <w:r>
          <w:rPr>
            <w:rFonts w:ascii="Times New Roman" w:hAnsi="Times New Roman" w:cs="Times New Roman"/>
            <w:sz w:val="30"/>
            <w:szCs w:val="30"/>
          </w:rPr>
          <w:t xml:space="preserve"> </w:t>
        </w:r>
        <w:r>
          <w:rPr>
            <w:rFonts w:hint="eastAsia" w:ascii="Times New Roman" w:hAnsi="Times New Roman" w:cs="Times New Roman"/>
            <w:sz w:val="30"/>
            <w:szCs w:val="30"/>
          </w:rPr>
          <w:t>—</w:t>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9"/>
  <w:embedTrueTypeFonts/>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hkMDE1NjAwY2E3NGY5YzExZTczZjhlZTFiZjZhMDEifQ=="/>
  </w:docVars>
  <w:rsids>
    <w:rsidRoot w:val="00C76500"/>
    <w:rsid w:val="000240E8"/>
    <w:rsid w:val="00026B14"/>
    <w:rsid w:val="0003073F"/>
    <w:rsid w:val="00035A18"/>
    <w:rsid w:val="000365D1"/>
    <w:rsid w:val="00052C70"/>
    <w:rsid w:val="00057EBF"/>
    <w:rsid w:val="00060685"/>
    <w:rsid w:val="00073B62"/>
    <w:rsid w:val="000861AA"/>
    <w:rsid w:val="0008649E"/>
    <w:rsid w:val="000866D2"/>
    <w:rsid w:val="00087AA1"/>
    <w:rsid w:val="000A38FA"/>
    <w:rsid w:val="000A538F"/>
    <w:rsid w:val="000E540B"/>
    <w:rsid w:val="000E6720"/>
    <w:rsid w:val="0010138B"/>
    <w:rsid w:val="00102BE6"/>
    <w:rsid w:val="0011033A"/>
    <w:rsid w:val="001251B0"/>
    <w:rsid w:val="00137BAF"/>
    <w:rsid w:val="00154906"/>
    <w:rsid w:val="001714D1"/>
    <w:rsid w:val="0017715E"/>
    <w:rsid w:val="001838D0"/>
    <w:rsid w:val="00184CE9"/>
    <w:rsid w:val="001B2052"/>
    <w:rsid w:val="001B6C3D"/>
    <w:rsid w:val="001C0F9F"/>
    <w:rsid w:val="001C688C"/>
    <w:rsid w:val="001D39D3"/>
    <w:rsid w:val="001E2AD4"/>
    <w:rsid w:val="002074FE"/>
    <w:rsid w:val="00212C9B"/>
    <w:rsid w:val="002278FA"/>
    <w:rsid w:val="00230CA4"/>
    <w:rsid w:val="002521AF"/>
    <w:rsid w:val="00287AE5"/>
    <w:rsid w:val="002956E1"/>
    <w:rsid w:val="0029702C"/>
    <w:rsid w:val="002A0190"/>
    <w:rsid w:val="002A0602"/>
    <w:rsid w:val="002C1339"/>
    <w:rsid w:val="002D6DCB"/>
    <w:rsid w:val="002E0F50"/>
    <w:rsid w:val="002E7D58"/>
    <w:rsid w:val="003026A6"/>
    <w:rsid w:val="00306AA3"/>
    <w:rsid w:val="00315EDB"/>
    <w:rsid w:val="00342759"/>
    <w:rsid w:val="003473B9"/>
    <w:rsid w:val="00363272"/>
    <w:rsid w:val="00374410"/>
    <w:rsid w:val="00374703"/>
    <w:rsid w:val="00376B3C"/>
    <w:rsid w:val="0037731B"/>
    <w:rsid w:val="00382646"/>
    <w:rsid w:val="0038455E"/>
    <w:rsid w:val="003913FC"/>
    <w:rsid w:val="00392FD1"/>
    <w:rsid w:val="003A3233"/>
    <w:rsid w:val="003B6B8E"/>
    <w:rsid w:val="003C030D"/>
    <w:rsid w:val="003D02C3"/>
    <w:rsid w:val="003D4DA0"/>
    <w:rsid w:val="003E5761"/>
    <w:rsid w:val="00425C66"/>
    <w:rsid w:val="004536C4"/>
    <w:rsid w:val="00462B1B"/>
    <w:rsid w:val="004652DB"/>
    <w:rsid w:val="00466683"/>
    <w:rsid w:val="0047444F"/>
    <w:rsid w:val="00490E3F"/>
    <w:rsid w:val="0049182A"/>
    <w:rsid w:val="004A3518"/>
    <w:rsid w:val="004F1098"/>
    <w:rsid w:val="00503586"/>
    <w:rsid w:val="00517FD6"/>
    <w:rsid w:val="00526787"/>
    <w:rsid w:val="005331C0"/>
    <w:rsid w:val="005425DC"/>
    <w:rsid w:val="0058688A"/>
    <w:rsid w:val="00587AED"/>
    <w:rsid w:val="005902CD"/>
    <w:rsid w:val="00594BBC"/>
    <w:rsid w:val="005A087C"/>
    <w:rsid w:val="005A0B35"/>
    <w:rsid w:val="005A60A6"/>
    <w:rsid w:val="005A6791"/>
    <w:rsid w:val="005B3E18"/>
    <w:rsid w:val="005E0C36"/>
    <w:rsid w:val="005F49EA"/>
    <w:rsid w:val="0060481D"/>
    <w:rsid w:val="0060514B"/>
    <w:rsid w:val="006231EC"/>
    <w:rsid w:val="00630CB6"/>
    <w:rsid w:val="0063189B"/>
    <w:rsid w:val="00651D31"/>
    <w:rsid w:val="00671069"/>
    <w:rsid w:val="00674C14"/>
    <w:rsid w:val="00675BC9"/>
    <w:rsid w:val="006925F8"/>
    <w:rsid w:val="006C4F78"/>
    <w:rsid w:val="006E6071"/>
    <w:rsid w:val="006F5056"/>
    <w:rsid w:val="006F5B7C"/>
    <w:rsid w:val="007136F1"/>
    <w:rsid w:val="00730883"/>
    <w:rsid w:val="00730BC7"/>
    <w:rsid w:val="0073534C"/>
    <w:rsid w:val="007353C1"/>
    <w:rsid w:val="00741EE1"/>
    <w:rsid w:val="00744E7E"/>
    <w:rsid w:val="00745413"/>
    <w:rsid w:val="00761F8B"/>
    <w:rsid w:val="007635E8"/>
    <w:rsid w:val="007653F3"/>
    <w:rsid w:val="00765B24"/>
    <w:rsid w:val="00765BB9"/>
    <w:rsid w:val="00776B30"/>
    <w:rsid w:val="00780230"/>
    <w:rsid w:val="007810DD"/>
    <w:rsid w:val="007841FD"/>
    <w:rsid w:val="00784821"/>
    <w:rsid w:val="00786DB6"/>
    <w:rsid w:val="007A0082"/>
    <w:rsid w:val="007A0C07"/>
    <w:rsid w:val="007A40A2"/>
    <w:rsid w:val="007B743E"/>
    <w:rsid w:val="007C1CD0"/>
    <w:rsid w:val="007C3946"/>
    <w:rsid w:val="007D689B"/>
    <w:rsid w:val="007E3963"/>
    <w:rsid w:val="007F428B"/>
    <w:rsid w:val="007F7C07"/>
    <w:rsid w:val="00805FF7"/>
    <w:rsid w:val="008226AC"/>
    <w:rsid w:val="00841C81"/>
    <w:rsid w:val="00843732"/>
    <w:rsid w:val="00846406"/>
    <w:rsid w:val="00854BAD"/>
    <w:rsid w:val="00861ACC"/>
    <w:rsid w:val="00870191"/>
    <w:rsid w:val="008711FD"/>
    <w:rsid w:val="00873262"/>
    <w:rsid w:val="00893E7C"/>
    <w:rsid w:val="008A18DE"/>
    <w:rsid w:val="008A5B77"/>
    <w:rsid w:val="008A5CEF"/>
    <w:rsid w:val="008B7992"/>
    <w:rsid w:val="008C2F09"/>
    <w:rsid w:val="008E06DF"/>
    <w:rsid w:val="008E1D24"/>
    <w:rsid w:val="008F3B60"/>
    <w:rsid w:val="008F57DB"/>
    <w:rsid w:val="00903847"/>
    <w:rsid w:val="009219EE"/>
    <w:rsid w:val="00923FE2"/>
    <w:rsid w:val="00941FC7"/>
    <w:rsid w:val="0095686C"/>
    <w:rsid w:val="009649BC"/>
    <w:rsid w:val="009836CA"/>
    <w:rsid w:val="00987E35"/>
    <w:rsid w:val="009A2672"/>
    <w:rsid w:val="009C0761"/>
    <w:rsid w:val="009C21ED"/>
    <w:rsid w:val="009D5BAC"/>
    <w:rsid w:val="009D7042"/>
    <w:rsid w:val="009E4343"/>
    <w:rsid w:val="009E7F2D"/>
    <w:rsid w:val="009F01BF"/>
    <w:rsid w:val="009F2E9B"/>
    <w:rsid w:val="009F4D70"/>
    <w:rsid w:val="009F6758"/>
    <w:rsid w:val="00A00C75"/>
    <w:rsid w:val="00A26AF9"/>
    <w:rsid w:val="00A5663F"/>
    <w:rsid w:val="00A61DA9"/>
    <w:rsid w:val="00A94623"/>
    <w:rsid w:val="00A9715D"/>
    <w:rsid w:val="00AA28D6"/>
    <w:rsid w:val="00AA4FEC"/>
    <w:rsid w:val="00AC4A28"/>
    <w:rsid w:val="00AD20E6"/>
    <w:rsid w:val="00AD5DC8"/>
    <w:rsid w:val="00AE5159"/>
    <w:rsid w:val="00AE59B5"/>
    <w:rsid w:val="00AF3F1B"/>
    <w:rsid w:val="00AF4A5F"/>
    <w:rsid w:val="00AF56B4"/>
    <w:rsid w:val="00AF71A1"/>
    <w:rsid w:val="00B044BB"/>
    <w:rsid w:val="00B057B8"/>
    <w:rsid w:val="00B14B3A"/>
    <w:rsid w:val="00B14EA3"/>
    <w:rsid w:val="00B30354"/>
    <w:rsid w:val="00B3645C"/>
    <w:rsid w:val="00B47306"/>
    <w:rsid w:val="00B73EC7"/>
    <w:rsid w:val="00B829F5"/>
    <w:rsid w:val="00B82BFA"/>
    <w:rsid w:val="00B83F88"/>
    <w:rsid w:val="00BA29A4"/>
    <w:rsid w:val="00BA7AE0"/>
    <w:rsid w:val="00BC3D00"/>
    <w:rsid w:val="00BC7677"/>
    <w:rsid w:val="00BD7790"/>
    <w:rsid w:val="00BE365D"/>
    <w:rsid w:val="00BF323A"/>
    <w:rsid w:val="00C22795"/>
    <w:rsid w:val="00C27A27"/>
    <w:rsid w:val="00C553CA"/>
    <w:rsid w:val="00C6377E"/>
    <w:rsid w:val="00C764B1"/>
    <w:rsid w:val="00C76500"/>
    <w:rsid w:val="00C92F7A"/>
    <w:rsid w:val="00C93264"/>
    <w:rsid w:val="00C932F5"/>
    <w:rsid w:val="00CA6B14"/>
    <w:rsid w:val="00CB12FF"/>
    <w:rsid w:val="00CC4464"/>
    <w:rsid w:val="00CE139B"/>
    <w:rsid w:val="00CE54FF"/>
    <w:rsid w:val="00D13573"/>
    <w:rsid w:val="00D3052F"/>
    <w:rsid w:val="00D47013"/>
    <w:rsid w:val="00D60673"/>
    <w:rsid w:val="00D83F3E"/>
    <w:rsid w:val="00D9497C"/>
    <w:rsid w:val="00D97360"/>
    <w:rsid w:val="00DA1B35"/>
    <w:rsid w:val="00DA78D3"/>
    <w:rsid w:val="00DD4311"/>
    <w:rsid w:val="00DE29BC"/>
    <w:rsid w:val="00DE4290"/>
    <w:rsid w:val="00DF5C87"/>
    <w:rsid w:val="00E02859"/>
    <w:rsid w:val="00E13CFA"/>
    <w:rsid w:val="00E63CDD"/>
    <w:rsid w:val="00E65EE5"/>
    <w:rsid w:val="00E83073"/>
    <w:rsid w:val="00E8701C"/>
    <w:rsid w:val="00E91050"/>
    <w:rsid w:val="00E927A1"/>
    <w:rsid w:val="00EA2021"/>
    <w:rsid w:val="00EB213E"/>
    <w:rsid w:val="00EB3C2F"/>
    <w:rsid w:val="00ED02B8"/>
    <w:rsid w:val="00EF1F07"/>
    <w:rsid w:val="00F0383B"/>
    <w:rsid w:val="00F1111B"/>
    <w:rsid w:val="00F1301B"/>
    <w:rsid w:val="00F36F88"/>
    <w:rsid w:val="00F36FF4"/>
    <w:rsid w:val="00F536B6"/>
    <w:rsid w:val="00F56164"/>
    <w:rsid w:val="00F718B9"/>
    <w:rsid w:val="00F75781"/>
    <w:rsid w:val="00F82EA8"/>
    <w:rsid w:val="00F84AAA"/>
    <w:rsid w:val="00F85BDA"/>
    <w:rsid w:val="00FA5192"/>
    <w:rsid w:val="0F7571A7"/>
    <w:rsid w:val="16EC57E6"/>
    <w:rsid w:val="37075AE2"/>
    <w:rsid w:val="61F826C0"/>
    <w:rsid w:val="EDFBED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21"/>
    <w:semiHidden/>
    <w:unhideWhenUsed/>
    <w:qFormat/>
    <w:uiPriority w:val="99"/>
    <w:pPr>
      <w:ind w:left="100" w:leftChars="2500"/>
    </w:pPr>
  </w:style>
  <w:style w:type="paragraph" w:styleId="4">
    <w:name w:val="Balloon Text"/>
    <w:basedOn w:val="1"/>
    <w:link w:val="18"/>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脚 字符"/>
    <w:link w:val="5"/>
    <w:qFormat/>
    <w:uiPriority w:val="99"/>
    <w:rPr>
      <w:sz w:val="18"/>
      <w:szCs w:val="18"/>
    </w:rPr>
  </w:style>
  <w:style w:type="character" w:customStyle="1" w:styleId="14">
    <w:name w:val="页脚 字符1"/>
    <w:basedOn w:val="10"/>
    <w:semiHidden/>
    <w:qFormat/>
    <w:uiPriority w:val="99"/>
    <w:rPr>
      <w:rFonts w:ascii="Calibri" w:hAnsi="Calibri" w:eastAsia="宋体" w:cs="Times New Roman"/>
      <w:sz w:val="18"/>
      <w:szCs w:val="18"/>
    </w:rPr>
  </w:style>
  <w:style w:type="paragraph" w:customStyle="1" w:styleId="15">
    <w:name w:val="Default"/>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 w:type="paragraph" w:styleId="16">
    <w:name w:val="List Paragraph"/>
    <w:basedOn w:val="1"/>
    <w:qFormat/>
    <w:uiPriority w:val="34"/>
    <w:pPr>
      <w:ind w:firstLine="420" w:firstLineChars="200"/>
    </w:pPr>
  </w:style>
  <w:style w:type="character" w:customStyle="1" w:styleId="17">
    <w:name w:val="标题 1 字符"/>
    <w:basedOn w:val="10"/>
    <w:link w:val="2"/>
    <w:qFormat/>
    <w:uiPriority w:val="9"/>
    <w:rPr>
      <w:rFonts w:ascii="Calibri" w:hAnsi="Calibri" w:eastAsia="宋体" w:cs="Times New Roman"/>
      <w:b/>
      <w:bCs/>
      <w:kern w:val="44"/>
      <w:sz w:val="44"/>
      <w:szCs w:val="44"/>
    </w:rPr>
  </w:style>
  <w:style w:type="character" w:customStyle="1" w:styleId="18">
    <w:name w:val="批注框文本 字符"/>
    <w:basedOn w:val="10"/>
    <w:link w:val="4"/>
    <w:semiHidden/>
    <w:qFormat/>
    <w:uiPriority w:val="99"/>
    <w:rPr>
      <w:rFonts w:ascii="Calibri" w:hAnsi="Calibri" w:eastAsia="宋体" w:cs="Times New Roman"/>
      <w:kern w:val="2"/>
      <w:sz w:val="18"/>
      <w:szCs w:val="18"/>
    </w:rPr>
  </w:style>
  <w:style w:type="character" w:customStyle="1" w:styleId="19">
    <w:name w:val="页眉 字符"/>
    <w:basedOn w:val="10"/>
    <w:link w:val="6"/>
    <w:qFormat/>
    <w:uiPriority w:val="99"/>
    <w:rPr>
      <w:rFonts w:ascii="Calibri" w:hAnsi="Calibri" w:eastAsia="宋体" w:cs="Times New Roman"/>
      <w:kern w:val="2"/>
      <w:sz w:val="18"/>
      <w:szCs w:val="18"/>
    </w:rPr>
  </w:style>
  <w:style w:type="character" w:customStyle="1" w:styleId="20">
    <w:name w:val="未处理的提及1"/>
    <w:basedOn w:val="10"/>
    <w:semiHidden/>
    <w:unhideWhenUsed/>
    <w:qFormat/>
    <w:uiPriority w:val="99"/>
    <w:rPr>
      <w:color w:val="605E5C"/>
      <w:shd w:val="clear" w:color="auto" w:fill="E1DFDD"/>
    </w:rPr>
  </w:style>
  <w:style w:type="character" w:customStyle="1" w:styleId="21">
    <w:name w:val="日期 字符"/>
    <w:basedOn w:val="10"/>
    <w:link w:val="3"/>
    <w:semiHidden/>
    <w:qFormat/>
    <w:uiPriority w:val="99"/>
    <w:rPr>
      <w:rFonts w:ascii="Calibri" w:hAnsi="Calibri"/>
      <w:kern w:val="2"/>
      <w:sz w:val="21"/>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349</Words>
  <Characters>1994</Characters>
  <Lines>16</Lines>
  <Paragraphs>4</Paragraphs>
  <TotalTime>213</TotalTime>
  <ScaleCrop>false</ScaleCrop>
  <LinksUpToDate>false</LinksUpToDate>
  <CharactersWithSpaces>2339</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2023-12-04T15:29:00Z</dcterms:created>
  <dc:creator>xshd</dc:creator>
  <cp:lastModifiedBy>李承昊</cp:lastModifiedBy>
  <cp:lastPrinted>2024-05-20T14:50:00Z</cp:lastPrinted>
  <dcterms:modified xsi:type="dcterms:W3CDTF">2024-05-20T16:19:40Z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242336169_embed</vt:lpwstr>
  </property>
  <property fmtid="{D5CDD505-2E9C-101B-9397-08002B2CF9AE}" pid="3" name="KSOProductBuildVer">
    <vt:lpwstr>2052-6.5.2.8766</vt:lpwstr>
  </property>
  <property fmtid="{D5CDD505-2E9C-101B-9397-08002B2CF9AE}" pid="4" name="ICV">
    <vt:lpwstr>EAE1B403C53205819C074B663936B6E0_43</vt:lpwstr>
  </property>
</Properties>
</file>